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5D" w:rsidRDefault="009A2F5D" w:rsidP="009A2F5D">
      <w:pPr>
        <w:autoSpaceDE w:val="0"/>
        <w:autoSpaceDN w:val="0"/>
        <w:adjustRightInd w:val="0"/>
        <w:spacing w:after="0" w:line="240" w:lineRule="auto"/>
        <w:rPr>
          <w:rFonts w:ascii="Verdana" w:hAnsi="Verdana" w:cs="Castledown"/>
          <w:color w:val="000000"/>
          <w:sz w:val="40"/>
          <w:szCs w:val="40"/>
        </w:rPr>
      </w:pPr>
      <w:r w:rsidRPr="009A2F5D">
        <w:rPr>
          <w:rFonts w:ascii="Verdana" w:hAnsi="Verdana" w:cs="Castledown"/>
          <w:color w:val="000000"/>
          <w:sz w:val="40"/>
          <w:szCs w:val="40"/>
        </w:rPr>
        <w:t>What is Pupil Premium?</w:t>
      </w:r>
    </w:p>
    <w:p w:rsidR="009A2F5D" w:rsidRPr="009A2F5D" w:rsidRDefault="009A2F5D" w:rsidP="009A2F5D">
      <w:pPr>
        <w:autoSpaceDE w:val="0"/>
        <w:autoSpaceDN w:val="0"/>
        <w:adjustRightInd w:val="0"/>
        <w:spacing w:after="0" w:line="240" w:lineRule="auto"/>
        <w:rPr>
          <w:rFonts w:ascii="Verdana" w:hAnsi="Verdana" w:cs="Castledown"/>
          <w:color w:val="000000"/>
          <w:sz w:val="40"/>
          <w:szCs w:val="40"/>
        </w:rPr>
      </w:pPr>
    </w:p>
    <w:p w:rsidR="009A2F5D" w:rsidRDefault="009A2F5D" w:rsidP="009A2F5D">
      <w:pPr>
        <w:autoSpaceDE w:val="0"/>
        <w:autoSpaceDN w:val="0"/>
        <w:adjustRightInd w:val="0"/>
        <w:spacing w:after="0" w:line="240" w:lineRule="auto"/>
        <w:rPr>
          <w:rFonts w:ascii="Verdana" w:hAnsi="Verdana" w:cs="Castledown"/>
          <w:color w:val="000000"/>
          <w:sz w:val="24"/>
          <w:szCs w:val="24"/>
        </w:rPr>
      </w:pPr>
      <w:r w:rsidRPr="009A2F5D">
        <w:rPr>
          <w:rFonts w:ascii="Verdana" w:hAnsi="Verdana" w:cs="Castledown"/>
          <w:color w:val="000000"/>
          <w:sz w:val="24"/>
          <w:szCs w:val="24"/>
        </w:rPr>
        <w:t>The Pupil Premium is an allocation of funding, in a</w:t>
      </w:r>
      <w:r>
        <w:rPr>
          <w:rFonts w:ascii="Verdana" w:hAnsi="Verdana" w:cs="Castledown"/>
          <w:color w:val="000000"/>
          <w:sz w:val="24"/>
          <w:szCs w:val="24"/>
        </w:rPr>
        <w:t xml:space="preserve">ddition to main school funding, </w:t>
      </w:r>
      <w:r w:rsidRPr="009A2F5D">
        <w:rPr>
          <w:rFonts w:ascii="Verdana" w:hAnsi="Verdana" w:cs="Castledown"/>
          <w:color w:val="000000"/>
          <w:sz w:val="24"/>
          <w:szCs w:val="24"/>
        </w:rPr>
        <w:t>which schools receive according to the number of children in specific groups.</w:t>
      </w:r>
    </w:p>
    <w:p w:rsidR="009A2F5D" w:rsidRPr="009A2F5D" w:rsidRDefault="009A2F5D" w:rsidP="009A2F5D">
      <w:pPr>
        <w:autoSpaceDE w:val="0"/>
        <w:autoSpaceDN w:val="0"/>
        <w:adjustRightInd w:val="0"/>
        <w:spacing w:after="0" w:line="240" w:lineRule="auto"/>
        <w:rPr>
          <w:rFonts w:ascii="Verdana" w:hAnsi="Verdana" w:cs="Castledown"/>
          <w:color w:val="000000"/>
          <w:sz w:val="24"/>
          <w:szCs w:val="24"/>
        </w:rPr>
      </w:pPr>
    </w:p>
    <w:p w:rsidR="009A2F5D" w:rsidRPr="009A2F5D" w:rsidRDefault="009A2F5D" w:rsidP="009A2F5D">
      <w:pPr>
        <w:autoSpaceDE w:val="0"/>
        <w:autoSpaceDN w:val="0"/>
        <w:adjustRightInd w:val="0"/>
        <w:spacing w:after="0" w:line="240" w:lineRule="auto"/>
        <w:rPr>
          <w:rFonts w:ascii="Verdana" w:hAnsi="Verdana" w:cs="Castledown"/>
          <w:color w:val="000000"/>
          <w:sz w:val="24"/>
          <w:szCs w:val="24"/>
        </w:rPr>
      </w:pPr>
      <w:r w:rsidRPr="009A2F5D">
        <w:rPr>
          <w:rFonts w:ascii="Verdana" w:hAnsi="Verdana" w:cs="Castledown"/>
          <w:color w:val="000000"/>
          <w:sz w:val="24"/>
          <w:szCs w:val="24"/>
        </w:rPr>
        <w:t>Schools receive Pupil Premium funding for:</w:t>
      </w:r>
    </w:p>
    <w:p w:rsidR="009A2F5D" w:rsidRPr="009A2F5D" w:rsidRDefault="009A2F5D" w:rsidP="009A2F5D">
      <w:pPr>
        <w:autoSpaceDE w:val="0"/>
        <w:autoSpaceDN w:val="0"/>
        <w:adjustRightInd w:val="0"/>
        <w:spacing w:after="0" w:line="240" w:lineRule="auto"/>
        <w:rPr>
          <w:rFonts w:ascii="Verdana" w:hAnsi="Verdana" w:cs="Castledown"/>
          <w:color w:val="000000"/>
          <w:sz w:val="24"/>
          <w:szCs w:val="24"/>
        </w:rPr>
      </w:pPr>
      <w:r w:rsidRPr="009A2F5D">
        <w:rPr>
          <w:rFonts w:ascii="Verdana" w:hAnsi="Verdana" w:cs="Castledown"/>
          <w:color w:val="9A968F"/>
        </w:rPr>
        <w:t xml:space="preserve">• </w:t>
      </w:r>
      <w:r w:rsidRPr="009A2F5D">
        <w:rPr>
          <w:rFonts w:ascii="Verdana" w:hAnsi="Verdana" w:cs="Castledown"/>
          <w:color w:val="000000"/>
          <w:sz w:val="24"/>
          <w:szCs w:val="24"/>
        </w:rPr>
        <w:t>children who have been eligible for free school m</w:t>
      </w:r>
      <w:r>
        <w:rPr>
          <w:rFonts w:ascii="Verdana" w:hAnsi="Verdana" w:cs="Castledown"/>
          <w:color w:val="000000"/>
          <w:sz w:val="24"/>
          <w:szCs w:val="24"/>
        </w:rPr>
        <w:t xml:space="preserve">eals at any point in the last 6 </w:t>
      </w:r>
      <w:r w:rsidRPr="009A2F5D">
        <w:rPr>
          <w:rFonts w:ascii="Verdana" w:hAnsi="Verdana" w:cs="Castledown"/>
          <w:color w:val="000000"/>
          <w:sz w:val="24"/>
          <w:szCs w:val="24"/>
        </w:rPr>
        <w:t>years</w:t>
      </w:r>
    </w:p>
    <w:p w:rsidR="009A2F5D" w:rsidRPr="009A2F5D" w:rsidRDefault="009A2F5D" w:rsidP="009A2F5D">
      <w:pPr>
        <w:autoSpaceDE w:val="0"/>
        <w:autoSpaceDN w:val="0"/>
        <w:adjustRightInd w:val="0"/>
        <w:spacing w:after="0" w:line="240" w:lineRule="auto"/>
        <w:rPr>
          <w:rFonts w:ascii="Verdana" w:hAnsi="Verdana" w:cs="Castledown"/>
          <w:color w:val="000000"/>
          <w:sz w:val="24"/>
          <w:szCs w:val="24"/>
        </w:rPr>
      </w:pPr>
      <w:r w:rsidRPr="009A2F5D">
        <w:rPr>
          <w:rFonts w:ascii="Verdana" w:hAnsi="Verdana" w:cs="Castledown"/>
          <w:color w:val="9A968F"/>
        </w:rPr>
        <w:t xml:space="preserve">• </w:t>
      </w:r>
      <w:r w:rsidRPr="009A2F5D">
        <w:rPr>
          <w:rFonts w:ascii="Verdana" w:hAnsi="Verdana" w:cs="Castledown"/>
          <w:color w:val="000000"/>
          <w:sz w:val="24"/>
          <w:szCs w:val="24"/>
        </w:rPr>
        <w:t>children who are looked after (they are in Local Authority Care)</w:t>
      </w:r>
    </w:p>
    <w:p w:rsidR="009A2F5D" w:rsidRPr="009A2F5D" w:rsidRDefault="009A2F5D" w:rsidP="009A2F5D">
      <w:pPr>
        <w:autoSpaceDE w:val="0"/>
        <w:autoSpaceDN w:val="0"/>
        <w:adjustRightInd w:val="0"/>
        <w:spacing w:after="0" w:line="240" w:lineRule="auto"/>
        <w:rPr>
          <w:rFonts w:ascii="Verdana" w:hAnsi="Verdana" w:cs="Castledown"/>
          <w:color w:val="000000"/>
          <w:sz w:val="24"/>
          <w:szCs w:val="24"/>
        </w:rPr>
      </w:pPr>
      <w:r w:rsidRPr="009A2F5D">
        <w:rPr>
          <w:rFonts w:ascii="Verdana" w:hAnsi="Verdana" w:cs="Castledown"/>
          <w:color w:val="9A968F"/>
        </w:rPr>
        <w:t xml:space="preserve">• </w:t>
      </w:r>
      <w:r w:rsidRPr="009A2F5D">
        <w:rPr>
          <w:rFonts w:ascii="Verdana" w:hAnsi="Verdana" w:cs="Castledown"/>
          <w:color w:val="000000"/>
          <w:sz w:val="24"/>
          <w:szCs w:val="24"/>
        </w:rPr>
        <w:t>children adopted from care and children who have left c</w:t>
      </w:r>
      <w:r>
        <w:rPr>
          <w:rFonts w:ascii="Verdana" w:hAnsi="Verdana" w:cs="Castledown"/>
          <w:color w:val="000000"/>
          <w:sz w:val="24"/>
          <w:szCs w:val="24"/>
        </w:rPr>
        <w:t xml:space="preserve">are under a Special </w:t>
      </w:r>
      <w:r w:rsidRPr="009A2F5D">
        <w:rPr>
          <w:rFonts w:ascii="Verdana" w:hAnsi="Verdana" w:cs="Castledown"/>
          <w:color w:val="000000"/>
          <w:sz w:val="24"/>
          <w:szCs w:val="24"/>
        </w:rPr>
        <w:t>Guardianship or Residence Order</w:t>
      </w:r>
    </w:p>
    <w:p w:rsidR="009A2F5D" w:rsidRDefault="009A2F5D" w:rsidP="009A2F5D">
      <w:pPr>
        <w:autoSpaceDE w:val="0"/>
        <w:autoSpaceDN w:val="0"/>
        <w:adjustRightInd w:val="0"/>
        <w:spacing w:after="0" w:line="240" w:lineRule="auto"/>
        <w:rPr>
          <w:rFonts w:ascii="Verdana" w:hAnsi="Verdana" w:cs="Castledown"/>
          <w:color w:val="000000"/>
          <w:sz w:val="24"/>
          <w:szCs w:val="24"/>
        </w:rPr>
      </w:pPr>
      <w:r w:rsidRPr="009A2F5D">
        <w:rPr>
          <w:rFonts w:ascii="Verdana" w:hAnsi="Verdana" w:cs="Castledown"/>
          <w:color w:val="9A968F"/>
        </w:rPr>
        <w:t xml:space="preserve">• </w:t>
      </w:r>
      <w:r>
        <w:rPr>
          <w:rFonts w:ascii="Verdana" w:hAnsi="Verdana" w:cs="Castledown"/>
          <w:color w:val="000000"/>
          <w:sz w:val="24"/>
          <w:szCs w:val="24"/>
        </w:rPr>
        <w:t>c</w:t>
      </w:r>
      <w:r w:rsidRPr="009A2F5D">
        <w:rPr>
          <w:rFonts w:ascii="Verdana" w:hAnsi="Verdana" w:cs="Castledown"/>
          <w:color w:val="000000"/>
          <w:sz w:val="24"/>
          <w:szCs w:val="24"/>
        </w:rPr>
        <w:t xml:space="preserve">hildren recorded as ‘ever 4’ service child or are in </w:t>
      </w:r>
      <w:r>
        <w:rPr>
          <w:rFonts w:ascii="Verdana" w:hAnsi="Verdana" w:cs="Castledown"/>
          <w:color w:val="000000"/>
          <w:sz w:val="24"/>
          <w:szCs w:val="24"/>
        </w:rPr>
        <w:t xml:space="preserve">receipt of a child pension from </w:t>
      </w:r>
      <w:r w:rsidRPr="009A2F5D">
        <w:rPr>
          <w:rFonts w:ascii="Verdana" w:hAnsi="Verdana" w:cs="Castledown"/>
          <w:color w:val="000000"/>
          <w:sz w:val="24"/>
          <w:szCs w:val="24"/>
        </w:rPr>
        <w:t>the ministry of defence</w:t>
      </w:r>
    </w:p>
    <w:p w:rsidR="009A2F5D" w:rsidRPr="009A2F5D" w:rsidRDefault="009A2F5D" w:rsidP="009A2F5D">
      <w:pPr>
        <w:autoSpaceDE w:val="0"/>
        <w:autoSpaceDN w:val="0"/>
        <w:adjustRightInd w:val="0"/>
        <w:spacing w:after="0" w:line="240" w:lineRule="auto"/>
        <w:rPr>
          <w:rFonts w:ascii="Verdana" w:hAnsi="Verdana" w:cs="Castledown"/>
          <w:color w:val="000000"/>
          <w:sz w:val="24"/>
          <w:szCs w:val="24"/>
        </w:rPr>
      </w:pPr>
    </w:p>
    <w:p w:rsidR="004D6E8B" w:rsidRDefault="009A2F5D" w:rsidP="009A2F5D">
      <w:pPr>
        <w:autoSpaceDE w:val="0"/>
        <w:autoSpaceDN w:val="0"/>
        <w:adjustRightInd w:val="0"/>
        <w:spacing w:after="0" w:line="240" w:lineRule="auto"/>
        <w:rPr>
          <w:rFonts w:ascii="Verdana" w:hAnsi="Verdana" w:cs="Castledown"/>
          <w:color w:val="000000"/>
          <w:sz w:val="24"/>
          <w:szCs w:val="24"/>
        </w:rPr>
      </w:pPr>
      <w:r w:rsidRPr="009A2F5D">
        <w:rPr>
          <w:rFonts w:ascii="Verdana" w:hAnsi="Verdana" w:cs="Castledown"/>
          <w:color w:val="000000"/>
          <w:sz w:val="24"/>
          <w:szCs w:val="24"/>
        </w:rPr>
        <w:t xml:space="preserve">The government awards this funding to help raise achievement for these </w:t>
      </w:r>
      <w:r w:rsidR="001F2A24" w:rsidRPr="009A2F5D">
        <w:rPr>
          <w:rFonts w:ascii="Verdana" w:hAnsi="Verdana" w:cs="Castledown"/>
          <w:color w:val="000000"/>
          <w:sz w:val="24"/>
          <w:szCs w:val="24"/>
        </w:rPr>
        <w:t>children. It</w:t>
      </w:r>
      <w:r w:rsidR="00E77E27">
        <w:rPr>
          <w:rFonts w:ascii="Verdana" w:hAnsi="Verdana" w:cs="Castledown"/>
          <w:color w:val="000000"/>
          <w:sz w:val="24"/>
          <w:szCs w:val="24"/>
        </w:rPr>
        <w:t xml:space="preserve"> is up to individual</w:t>
      </w:r>
      <w:r w:rsidRPr="009A2F5D">
        <w:rPr>
          <w:rFonts w:ascii="Verdana" w:hAnsi="Verdana" w:cs="Castledown"/>
          <w:color w:val="000000"/>
          <w:sz w:val="24"/>
          <w:szCs w:val="24"/>
        </w:rPr>
        <w:t xml:space="preserve"> schools to decide how the Pupil Pre</w:t>
      </w:r>
      <w:r>
        <w:rPr>
          <w:rFonts w:ascii="Verdana" w:hAnsi="Verdana" w:cs="Castledown"/>
          <w:color w:val="000000"/>
          <w:sz w:val="24"/>
          <w:szCs w:val="24"/>
        </w:rPr>
        <w:t xml:space="preserve">mium is spent, but this funding </w:t>
      </w:r>
      <w:r w:rsidRPr="009A2F5D">
        <w:rPr>
          <w:rFonts w:ascii="Verdana" w:hAnsi="Verdana" w:cs="Castledown"/>
          <w:color w:val="000000"/>
          <w:sz w:val="24"/>
          <w:szCs w:val="24"/>
        </w:rPr>
        <w:t xml:space="preserve">should be used to support these children. </w:t>
      </w:r>
    </w:p>
    <w:p w:rsidR="004D6E8B" w:rsidRDefault="004D6E8B" w:rsidP="009A2F5D">
      <w:pPr>
        <w:autoSpaceDE w:val="0"/>
        <w:autoSpaceDN w:val="0"/>
        <w:adjustRightInd w:val="0"/>
        <w:spacing w:after="0" w:line="240" w:lineRule="auto"/>
        <w:rPr>
          <w:rFonts w:ascii="Verdana" w:hAnsi="Verdana" w:cs="Castledown"/>
          <w:color w:val="000000"/>
          <w:sz w:val="24"/>
          <w:szCs w:val="24"/>
        </w:rPr>
      </w:pPr>
    </w:p>
    <w:p w:rsidR="009A2F5D" w:rsidRDefault="009A2F5D" w:rsidP="009A2F5D">
      <w:pPr>
        <w:autoSpaceDE w:val="0"/>
        <w:autoSpaceDN w:val="0"/>
        <w:adjustRightInd w:val="0"/>
        <w:spacing w:after="0" w:line="240" w:lineRule="auto"/>
        <w:rPr>
          <w:rFonts w:ascii="Verdana" w:hAnsi="Verdana" w:cs="Castledown"/>
          <w:color w:val="000000"/>
          <w:sz w:val="24"/>
          <w:szCs w:val="24"/>
        </w:rPr>
      </w:pPr>
      <w:r w:rsidRPr="009A2F5D">
        <w:rPr>
          <w:rFonts w:ascii="Verdana" w:hAnsi="Verdana" w:cs="Castledown"/>
          <w:color w:val="000000"/>
          <w:sz w:val="24"/>
          <w:szCs w:val="24"/>
        </w:rPr>
        <w:t>All scho</w:t>
      </w:r>
      <w:r>
        <w:rPr>
          <w:rFonts w:ascii="Verdana" w:hAnsi="Verdana" w:cs="Castledown"/>
          <w:color w:val="000000"/>
          <w:sz w:val="24"/>
          <w:szCs w:val="24"/>
        </w:rPr>
        <w:t xml:space="preserve">ols are required </w:t>
      </w:r>
      <w:r w:rsidR="004D6E8B">
        <w:rPr>
          <w:rFonts w:ascii="Verdana" w:hAnsi="Verdana" w:cs="Castledown"/>
          <w:color w:val="000000"/>
          <w:sz w:val="24"/>
          <w:szCs w:val="24"/>
        </w:rPr>
        <w:t xml:space="preserve">(from September 2016) </w:t>
      </w:r>
      <w:r>
        <w:rPr>
          <w:rFonts w:ascii="Verdana" w:hAnsi="Verdana" w:cs="Castledown"/>
          <w:color w:val="000000"/>
          <w:sz w:val="24"/>
          <w:szCs w:val="24"/>
        </w:rPr>
        <w:t>to publish, on t</w:t>
      </w:r>
      <w:r w:rsidRPr="009A2F5D">
        <w:rPr>
          <w:rFonts w:ascii="Verdana" w:hAnsi="Verdana" w:cs="Castledown"/>
          <w:color w:val="000000"/>
          <w:sz w:val="24"/>
          <w:szCs w:val="24"/>
        </w:rPr>
        <w:t xml:space="preserve">heir websites, </w:t>
      </w:r>
      <w:r w:rsidR="004D6E8B">
        <w:rPr>
          <w:rFonts w:ascii="Verdana" w:hAnsi="Verdana" w:cs="Castledown"/>
          <w:color w:val="000000"/>
          <w:sz w:val="24"/>
          <w:szCs w:val="24"/>
        </w:rPr>
        <w:t xml:space="preserve">their Pupil Premium Strategy. This explains how the funding was spent in the previous academic year and what impact this had and, for the current academic year </w:t>
      </w:r>
      <w:r w:rsidRPr="009A2F5D">
        <w:rPr>
          <w:rFonts w:ascii="Verdana" w:hAnsi="Verdana" w:cs="Castledown"/>
          <w:color w:val="000000"/>
          <w:sz w:val="24"/>
          <w:szCs w:val="24"/>
        </w:rPr>
        <w:t>what</w:t>
      </w:r>
      <w:r>
        <w:rPr>
          <w:rFonts w:ascii="Verdana" w:hAnsi="Verdana" w:cs="Castledown"/>
          <w:color w:val="000000"/>
          <w:sz w:val="24"/>
          <w:szCs w:val="24"/>
        </w:rPr>
        <w:t xml:space="preserve"> funding they have received, </w:t>
      </w:r>
      <w:r w:rsidR="004D6E8B">
        <w:rPr>
          <w:rFonts w:ascii="Verdana" w:hAnsi="Verdana" w:cs="Castledown"/>
          <w:color w:val="000000"/>
          <w:sz w:val="24"/>
          <w:szCs w:val="24"/>
        </w:rPr>
        <w:t xml:space="preserve">a summary of the barriers to achievement, </w:t>
      </w:r>
      <w:r w:rsidRPr="009A2F5D">
        <w:rPr>
          <w:rFonts w:ascii="Verdana" w:hAnsi="Verdana" w:cs="Castledown"/>
          <w:color w:val="000000"/>
          <w:sz w:val="24"/>
          <w:szCs w:val="24"/>
        </w:rPr>
        <w:t>how the money is being used</w:t>
      </w:r>
      <w:r w:rsidR="004D6E8B">
        <w:rPr>
          <w:rFonts w:ascii="Verdana" w:hAnsi="Verdana" w:cs="Castledown"/>
          <w:color w:val="000000"/>
          <w:sz w:val="24"/>
          <w:szCs w:val="24"/>
        </w:rPr>
        <w:t>, how the impact of this will be measured and the dates for when the strategy will next be reviewed.</w:t>
      </w:r>
    </w:p>
    <w:p w:rsidR="000D2FBD" w:rsidRDefault="000D2FBD" w:rsidP="009A2F5D">
      <w:pPr>
        <w:autoSpaceDE w:val="0"/>
        <w:autoSpaceDN w:val="0"/>
        <w:adjustRightInd w:val="0"/>
        <w:spacing w:after="0" w:line="240" w:lineRule="auto"/>
        <w:rPr>
          <w:rFonts w:ascii="Verdana" w:hAnsi="Verdana" w:cs="Castledown"/>
          <w:color w:val="000000"/>
          <w:sz w:val="24"/>
          <w:szCs w:val="24"/>
        </w:rPr>
      </w:pPr>
    </w:p>
    <w:p w:rsidR="000D2FBD" w:rsidRPr="000D2FBD" w:rsidRDefault="000D2FBD" w:rsidP="009A2F5D">
      <w:pPr>
        <w:autoSpaceDE w:val="0"/>
        <w:autoSpaceDN w:val="0"/>
        <w:adjustRightInd w:val="0"/>
        <w:spacing w:after="0" w:line="240" w:lineRule="auto"/>
        <w:rPr>
          <w:rFonts w:ascii="Verdana" w:hAnsi="Verdana" w:cs="Castledown"/>
          <w:color w:val="000000"/>
          <w:sz w:val="40"/>
          <w:szCs w:val="40"/>
        </w:rPr>
      </w:pPr>
      <w:r>
        <w:rPr>
          <w:rFonts w:ascii="Verdana" w:hAnsi="Verdana" w:cs="Castledown"/>
          <w:color w:val="000000"/>
          <w:sz w:val="40"/>
          <w:szCs w:val="40"/>
        </w:rPr>
        <w:t>Is Your Child Eligible?</w:t>
      </w:r>
    </w:p>
    <w:p w:rsidR="009A2F5D" w:rsidRDefault="009A2F5D" w:rsidP="009A2F5D">
      <w:pPr>
        <w:autoSpaceDE w:val="0"/>
        <w:autoSpaceDN w:val="0"/>
        <w:adjustRightInd w:val="0"/>
        <w:spacing w:after="0" w:line="240" w:lineRule="auto"/>
        <w:rPr>
          <w:rFonts w:ascii="Verdana" w:hAnsi="Verdana" w:cs="Castledown"/>
          <w:color w:val="000000"/>
          <w:sz w:val="24"/>
          <w:szCs w:val="24"/>
        </w:rPr>
      </w:pPr>
    </w:p>
    <w:p w:rsidR="009A2F5D" w:rsidRPr="009A2F5D" w:rsidRDefault="009A2F5D" w:rsidP="009A2F5D">
      <w:pPr>
        <w:autoSpaceDE w:val="0"/>
        <w:autoSpaceDN w:val="0"/>
        <w:adjustRightInd w:val="0"/>
        <w:spacing w:after="0" w:line="240" w:lineRule="auto"/>
        <w:rPr>
          <w:rFonts w:ascii="Verdana" w:hAnsi="Verdana" w:cs="Castledown"/>
          <w:color w:val="000000"/>
          <w:sz w:val="24"/>
          <w:szCs w:val="24"/>
        </w:rPr>
      </w:pPr>
      <w:r>
        <w:rPr>
          <w:rFonts w:ascii="Verdana" w:hAnsi="Verdana" w:cs="Castledown"/>
          <w:color w:val="000000"/>
          <w:sz w:val="24"/>
          <w:szCs w:val="24"/>
        </w:rPr>
        <w:t xml:space="preserve">Please check whether or not your child is eligible for the </w:t>
      </w:r>
      <w:r w:rsidR="00B92EEC">
        <w:rPr>
          <w:rFonts w:ascii="Verdana" w:hAnsi="Verdana" w:cs="Castledown"/>
          <w:color w:val="000000"/>
          <w:sz w:val="24"/>
          <w:szCs w:val="24"/>
        </w:rPr>
        <w:t>P</w:t>
      </w:r>
      <w:r>
        <w:rPr>
          <w:rFonts w:ascii="Verdana" w:hAnsi="Verdana" w:cs="Castledown"/>
          <w:color w:val="000000"/>
          <w:sz w:val="24"/>
          <w:szCs w:val="24"/>
        </w:rPr>
        <w:t xml:space="preserve">upil Premium, if they are the school is entitled to additional funding for </w:t>
      </w:r>
      <w:r w:rsidR="00B92EEC">
        <w:rPr>
          <w:rFonts w:ascii="Verdana" w:hAnsi="Verdana" w:cs="Castledown"/>
          <w:color w:val="000000"/>
          <w:sz w:val="24"/>
          <w:szCs w:val="24"/>
        </w:rPr>
        <w:t>them whether or not you wish your child to have a school meal at lunchtimes.</w:t>
      </w:r>
      <w:r>
        <w:rPr>
          <w:rFonts w:ascii="Verdana" w:hAnsi="Verdana" w:cs="Castledown"/>
          <w:color w:val="000000"/>
          <w:sz w:val="24"/>
          <w:szCs w:val="24"/>
        </w:rPr>
        <w:t xml:space="preserve"> </w:t>
      </w:r>
      <w:r w:rsidR="00B92EEC">
        <w:rPr>
          <w:rFonts w:ascii="Verdana" w:hAnsi="Verdana" w:cs="Castledown"/>
          <w:color w:val="000000"/>
          <w:sz w:val="24"/>
          <w:szCs w:val="24"/>
        </w:rPr>
        <w:t xml:space="preserve">Even if your child is in KS1 and receives a free meal automatically you must make an application in order for us to receive Pupil Premium for them. </w:t>
      </w:r>
      <w:r>
        <w:rPr>
          <w:rFonts w:ascii="Verdana" w:hAnsi="Verdana" w:cs="Castledown"/>
          <w:color w:val="000000"/>
          <w:sz w:val="24"/>
          <w:szCs w:val="24"/>
        </w:rPr>
        <w:t>Your child is likely to be eligible if you receive one or more of the following benefits:</w:t>
      </w:r>
    </w:p>
    <w:p w:rsidR="009A2F5D" w:rsidRDefault="009A2F5D" w:rsidP="009A2F5D">
      <w:pPr>
        <w:pStyle w:val="Default"/>
      </w:pPr>
      <w:r>
        <w:t></w:t>
      </w:r>
    </w:p>
    <w:p w:rsidR="009A2F5D" w:rsidRDefault="009A2F5D" w:rsidP="009A2F5D">
      <w:pPr>
        <w:pStyle w:val="Default"/>
        <w:numPr>
          <w:ilvl w:val="0"/>
          <w:numId w:val="1"/>
        </w:numPr>
        <w:spacing w:after="98"/>
        <w:rPr>
          <w:rFonts w:ascii="Verdana" w:hAnsi="Verdana" w:cs="Verdana"/>
          <w:sz w:val="22"/>
          <w:szCs w:val="22"/>
        </w:rPr>
      </w:pPr>
      <w:r>
        <w:rPr>
          <w:sz w:val="20"/>
          <w:szCs w:val="20"/>
        </w:rPr>
        <w:t></w:t>
      </w:r>
      <w:r>
        <w:rPr>
          <w:rFonts w:ascii="Verdana" w:hAnsi="Verdana" w:cs="Verdana"/>
          <w:sz w:val="22"/>
          <w:szCs w:val="22"/>
        </w:rPr>
        <w:t xml:space="preserve">Income Support </w:t>
      </w:r>
    </w:p>
    <w:p w:rsidR="009A2F5D" w:rsidRDefault="009A2F5D" w:rsidP="009A2F5D">
      <w:pPr>
        <w:pStyle w:val="Default"/>
        <w:numPr>
          <w:ilvl w:val="0"/>
          <w:numId w:val="1"/>
        </w:numPr>
        <w:spacing w:after="98"/>
        <w:rPr>
          <w:rFonts w:ascii="Verdana" w:hAnsi="Verdana" w:cs="Verdana"/>
          <w:sz w:val="22"/>
          <w:szCs w:val="22"/>
        </w:rPr>
      </w:pPr>
      <w:r w:rsidRPr="009A2F5D">
        <w:rPr>
          <w:rFonts w:ascii="Verdana" w:hAnsi="Verdana" w:cs="Verdana"/>
          <w:sz w:val="22"/>
          <w:szCs w:val="22"/>
        </w:rPr>
        <w:t xml:space="preserve">Income-based Job Seekers' Allowance </w:t>
      </w:r>
    </w:p>
    <w:p w:rsidR="009A2F5D" w:rsidRDefault="009A2F5D" w:rsidP="009A2F5D">
      <w:pPr>
        <w:pStyle w:val="Default"/>
        <w:numPr>
          <w:ilvl w:val="0"/>
          <w:numId w:val="1"/>
        </w:numPr>
        <w:spacing w:after="98"/>
        <w:rPr>
          <w:rFonts w:ascii="Verdana" w:hAnsi="Verdana" w:cs="Verdana"/>
          <w:sz w:val="22"/>
          <w:szCs w:val="22"/>
        </w:rPr>
      </w:pPr>
      <w:r w:rsidRPr="009A2F5D">
        <w:rPr>
          <w:rFonts w:ascii="Verdana" w:hAnsi="Verdana" w:cs="Verdana"/>
          <w:sz w:val="22"/>
          <w:szCs w:val="22"/>
        </w:rPr>
        <w:t xml:space="preserve">Income-related Employment and Support Allowance </w:t>
      </w:r>
    </w:p>
    <w:p w:rsidR="009A2F5D" w:rsidRDefault="009A2F5D" w:rsidP="009A2F5D">
      <w:pPr>
        <w:pStyle w:val="Default"/>
        <w:numPr>
          <w:ilvl w:val="0"/>
          <w:numId w:val="1"/>
        </w:numPr>
        <w:spacing w:after="98"/>
        <w:rPr>
          <w:rFonts w:ascii="Verdana" w:hAnsi="Verdana" w:cs="Verdana"/>
          <w:sz w:val="22"/>
          <w:szCs w:val="22"/>
        </w:rPr>
      </w:pPr>
      <w:r w:rsidRPr="009A2F5D">
        <w:rPr>
          <w:rFonts w:ascii="Verdana" w:hAnsi="Verdana" w:cs="Verdana"/>
          <w:sz w:val="22"/>
          <w:szCs w:val="22"/>
        </w:rPr>
        <w:t xml:space="preserve">Support under Part VI of the Immigration and Asylum Act 1999 </w:t>
      </w:r>
    </w:p>
    <w:p w:rsidR="009A2F5D" w:rsidRDefault="009A2F5D" w:rsidP="009A2F5D">
      <w:pPr>
        <w:pStyle w:val="Default"/>
        <w:numPr>
          <w:ilvl w:val="0"/>
          <w:numId w:val="1"/>
        </w:numPr>
        <w:spacing w:after="98"/>
        <w:rPr>
          <w:rFonts w:ascii="Verdana" w:hAnsi="Verdana" w:cs="Verdana"/>
          <w:sz w:val="22"/>
          <w:szCs w:val="22"/>
        </w:rPr>
      </w:pPr>
      <w:r w:rsidRPr="009A2F5D">
        <w:rPr>
          <w:rFonts w:ascii="Verdana" w:hAnsi="Verdana" w:cs="Verdana"/>
          <w:sz w:val="22"/>
          <w:szCs w:val="22"/>
        </w:rPr>
        <w:t xml:space="preserve">The Guaranteed element of State Pension Credit </w:t>
      </w:r>
    </w:p>
    <w:p w:rsidR="009A2F5D" w:rsidRPr="009A2F5D" w:rsidRDefault="009A2F5D" w:rsidP="009A2F5D">
      <w:pPr>
        <w:pStyle w:val="Default"/>
        <w:numPr>
          <w:ilvl w:val="0"/>
          <w:numId w:val="1"/>
        </w:numPr>
        <w:spacing w:after="98"/>
        <w:rPr>
          <w:rFonts w:ascii="Verdana" w:hAnsi="Verdana" w:cs="Verdana"/>
          <w:sz w:val="22"/>
          <w:szCs w:val="22"/>
        </w:rPr>
      </w:pPr>
      <w:r w:rsidRPr="009A2F5D">
        <w:rPr>
          <w:rFonts w:ascii="Verdana" w:hAnsi="Verdana" w:cs="Verdana"/>
          <w:sz w:val="22"/>
          <w:szCs w:val="22"/>
        </w:rPr>
        <w:t xml:space="preserve">Child Tax Credit, provided you are </w:t>
      </w:r>
      <w:r w:rsidRPr="009A2F5D">
        <w:rPr>
          <w:rFonts w:ascii="Verdana" w:hAnsi="Verdana" w:cs="Verdana"/>
          <w:b/>
          <w:bCs/>
          <w:sz w:val="22"/>
          <w:szCs w:val="22"/>
        </w:rPr>
        <w:t xml:space="preserve">not </w:t>
      </w:r>
      <w:r w:rsidRPr="009A2F5D">
        <w:rPr>
          <w:rFonts w:ascii="Verdana" w:hAnsi="Verdana" w:cs="Verdana"/>
          <w:sz w:val="22"/>
          <w:szCs w:val="22"/>
        </w:rPr>
        <w:t>also entitled to Working Tax Credit, and have an annual gross income, of no more than £16,190 as assessed by Her Majesty's Revenue and Customs</w:t>
      </w:r>
    </w:p>
    <w:p w:rsidR="009A2F5D" w:rsidRPr="000D2FBD" w:rsidRDefault="009A2F5D" w:rsidP="000D2FBD">
      <w:pPr>
        <w:pStyle w:val="Default"/>
        <w:numPr>
          <w:ilvl w:val="0"/>
          <w:numId w:val="1"/>
        </w:numPr>
        <w:spacing w:after="98"/>
        <w:rPr>
          <w:rFonts w:ascii="Verdana" w:hAnsi="Verdana" w:cs="Verdana"/>
          <w:sz w:val="22"/>
          <w:szCs w:val="22"/>
        </w:rPr>
      </w:pPr>
      <w:r w:rsidRPr="009A2F5D">
        <w:rPr>
          <w:rFonts w:ascii="Verdana" w:hAnsi="Verdana" w:cs="Verdana"/>
          <w:sz w:val="22"/>
          <w:szCs w:val="22"/>
        </w:rPr>
        <w:lastRenderedPageBreak/>
        <w:t xml:space="preserve">Working Tax Credit run-on - paid for 4 weeks after you stop qualifying for </w:t>
      </w:r>
      <w:r w:rsidRPr="000D2FBD">
        <w:rPr>
          <w:rFonts w:ascii="Verdana" w:hAnsi="Verdana" w:cs="Verdana"/>
          <w:sz w:val="22"/>
          <w:szCs w:val="22"/>
        </w:rPr>
        <w:t>working tax credit</w:t>
      </w:r>
      <w:r w:rsidR="000D2FBD" w:rsidRPr="000D2FBD">
        <w:rPr>
          <w:rFonts w:ascii="Verdana" w:hAnsi="Verdana" w:cs="Verdana"/>
        </w:rPr>
        <w:t>.</w:t>
      </w:r>
    </w:p>
    <w:p w:rsidR="009A2F5D" w:rsidRDefault="009A2F5D" w:rsidP="009A2F5D">
      <w:pPr>
        <w:autoSpaceDE w:val="0"/>
        <w:autoSpaceDN w:val="0"/>
        <w:adjustRightInd w:val="0"/>
        <w:spacing w:after="0" w:line="240" w:lineRule="auto"/>
        <w:rPr>
          <w:rFonts w:ascii="Verdana" w:hAnsi="Verdana" w:cs="Castledown"/>
          <w:color w:val="000000"/>
          <w:sz w:val="24"/>
          <w:szCs w:val="24"/>
        </w:rPr>
      </w:pPr>
      <w:r>
        <w:rPr>
          <w:rFonts w:ascii="Verdana" w:hAnsi="Verdana" w:cs="Castledown"/>
          <w:color w:val="000000"/>
          <w:sz w:val="24"/>
          <w:szCs w:val="24"/>
        </w:rPr>
        <w:t xml:space="preserve">You can do this on-line at </w:t>
      </w:r>
      <w:r w:rsidR="00E77E27" w:rsidRPr="00E77E27">
        <w:rPr>
          <w:rFonts w:ascii="Verdana" w:hAnsi="Verdana" w:cs="Castledown"/>
          <w:b/>
          <w:color w:val="000000"/>
          <w:sz w:val="24"/>
          <w:szCs w:val="24"/>
        </w:rPr>
        <w:t>pps.lgfl.org.uk</w:t>
      </w:r>
      <w:r w:rsidR="00E77E27">
        <w:rPr>
          <w:rFonts w:ascii="Verdana" w:hAnsi="Verdana" w:cs="Castledown"/>
          <w:color w:val="000000"/>
          <w:sz w:val="24"/>
          <w:szCs w:val="24"/>
        </w:rPr>
        <w:t xml:space="preserve"> </w:t>
      </w:r>
      <w:r w:rsidR="000D2FBD">
        <w:rPr>
          <w:rFonts w:ascii="Verdana" w:hAnsi="Verdana" w:cs="Castledown"/>
          <w:color w:val="000000"/>
          <w:sz w:val="24"/>
          <w:szCs w:val="24"/>
        </w:rPr>
        <w:t xml:space="preserve">Otherwise please speak to Mr Henderson in the school office who will be able to help you. </w:t>
      </w:r>
    </w:p>
    <w:p w:rsidR="00657DBE" w:rsidRDefault="00657DBE" w:rsidP="009A2F5D">
      <w:pPr>
        <w:autoSpaceDE w:val="0"/>
        <w:autoSpaceDN w:val="0"/>
        <w:adjustRightInd w:val="0"/>
        <w:spacing w:after="0" w:line="240" w:lineRule="auto"/>
        <w:rPr>
          <w:rFonts w:ascii="Verdana" w:hAnsi="Verdana" w:cs="Castledown"/>
          <w:color w:val="000000"/>
          <w:sz w:val="24"/>
          <w:szCs w:val="24"/>
        </w:rPr>
      </w:pPr>
    </w:p>
    <w:p w:rsidR="00657DBE" w:rsidRDefault="001F2A24" w:rsidP="009A2F5D">
      <w:pPr>
        <w:autoSpaceDE w:val="0"/>
        <w:autoSpaceDN w:val="0"/>
        <w:adjustRightInd w:val="0"/>
        <w:spacing w:after="0" w:line="240" w:lineRule="auto"/>
        <w:rPr>
          <w:rFonts w:ascii="Verdana" w:hAnsi="Verdana" w:cs="Castledown"/>
          <w:color w:val="000000"/>
          <w:sz w:val="40"/>
          <w:szCs w:val="40"/>
        </w:rPr>
      </w:pPr>
      <w:r>
        <w:rPr>
          <w:rFonts w:ascii="Verdana" w:hAnsi="Verdana" w:cs="Castledown"/>
          <w:color w:val="000000"/>
          <w:sz w:val="40"/>
          <w:szCs w:val="40"/>
        </w:rPr>
        <w:t>Our Pupil Premium Strategy</w:t>
      </w:r>
    </w:p>
    <w:p w:rsidR="001F2A24" w:rsidRDefault="001F2A24" w:rsidP="009A2F5D">
      <w:pPr>
        <w:autoSpaceDE w:val="0"/>
        <w:autoSpaceDN w:val="0"/>
        <w:adjustRightInd w:val="0"/>
        <w:spacing w:after="0" w:line="240" w:lineRule="auto"/>
        <w:rPr>
          <w:rFonts w:ascii="Verdana" w:hAnsi="Verdana" w:cs="Castledown"/>
          <w:color w:val="000000"/>
          <w:sz w:val="40"/>
          <w:szCs w:val="40"/>
        </w:rPr>
      </w:pPr>
    </w:p>
    <w:p w:rsidR="00657DBE" w:rsidRPr="009B6A25" w:rsidRDefault="00657DBE" w:rsidP="009A2F5D">
      <w:pPr>
        <w:autoSpaceDE w:val="0"/>
        <w:autoSpaceDN w:val="0"/>
        <w:adjustRightInd w:val="0"/>
        <w:spacing w:after="0" w:line="240" w:lineRule="auto"/>
        <w:rPr>
          <w:rFonts w:ascii="Verdana" w:hAnsi="Verdana" w:cs="Castledown"/>
          <w:sz w:val="24"/>
          <w:szCs w:val="24"/>
        </w:rPr>
      </w:pPr>
      <w:r w:rsidRPr="009B6A25">
        <w:rPr>
          <w:rFonts w:ascii="Verdana" w:hAnsi="Verdana" w:cs="Castledown"/>
          <w:sz w:val="24"/>
          <w:szCs w:val="24"/>
        </w:rPr>
        <w:t>At Ivybridge Primary we believe that all of our pupils, regardless of their individual circumstances, are entitled to the highest quality of education.</w:t>
      </w:r>
    </w:p>
    <w:p w:rsidR="00657DBE" w:rsidRPr="009B6A25" w:rsidRDefault="00657DBE" w:rsidP="009A2F5D">
      <w:pPr>
        <w:autoSpaceDE w:val="0"/>
        <w:autoSpaceDN w:val="0"/>
        <w:adjustRightInd w:val="0"/>
        <w:spacing w:after="0" w:line="240" w:lineRule="auto"/>
        <w:rPr>
          <w:rFonts w:ascii="Verdana" w:hAnsi="Verdana" w:cs="Castledown"/>
          <w:sz w:val="24"/>
          <w:szCs w:val="24"/>
        </w:rPr>
      </w:pPr>
    </w:p>
    <w:p w:rsidR="00657DBE" w:rsidRPr="009B6A25" w:rsidRDefault="00657DBE" w:rsidP="00657DBE">
      <w:pPr>
        <w:spacing w:after="225" w:line="270" w:lineRule="atLeast"/>
        <w:rPr>
          <w:rFonts w:ascii="Verdana" w:eastAsia="Times New Roman" w:hAnsi="Verdana" w:cs="Times New Roman"/>
          <w:sz w:val="24"/>
          <w:szCs w:val="24"/>
          <w:lang w:eastAsia="en-GB"/>
        </w:rPr>
      </w:pPr>
      <w:r w:rsidRPr="009B6A25">
        <w:rPr>
          <w:rFonts w:ascii="Verdana" w:eastAsia="Times New Roman" w:hAnsi="Verdana" w:cs="Calibri"/>
          <w:sz w:val="24"/>
          <w:szCs w:val="24"/>
          <w:lang w:eastAsia="en-GB"/>
        </w:rPr>
        <w:t>We ensure that the learning needs of all pupils, including those who belong to vulnerable groups, are met through consistently high quality teaching</w:t>
      </w:r>
      <w:r w:rsidR="009B6A25">
        <w:rPr>
          <w:rFonts w:ascii="Verdana" w:eastAsia="Times New Roman" w:hAnsi="Verdana" w:cs="Calibri"/>
          <w:sz w:val="24"/>
          <w:szCs w:val="24"/>
          <w:lang w:eastAsia="en-GB"/>
        </w:rPr>
        <w:t xml:space="preserve"> and learning</w:t>
      </w:r>
      <w:r w:rsidRPr="009B6A25">
        <w:rPr>
          <w:rFonts w:ascii="Verdana" w:eastAsia="Times New Roman" w:hAnsi="Verdana" w:cs="Calibri"/>
          <w:sz w:val="24"/>
          <w:szCs w:val="24"/>
          <w:lang w:eastAsia="en-GB"/>
        </w:rPr>
        <w:t xml:space="preserve"> in the classroom</w:t>
      </w:r>
      <w:r w:rsidR="00B92EEC">
        <w:rPr>
          <w:rFonts w:ascii="Verdana" w:eastAsia="Times New Roman" w:hAnsi="Verdana" w:cs="Calibri"/>
          <w:sz w:val="24"/>
          <w:szCs w:val="24"/>
          <w:lang w:eastAsia="en-GB"/>
        </w:rPr>
        <w:t>, access to a wide range of opportunities within and beyond the curriculum</w:t>
      </w:r>
      <w:r w:rsidRPr="009B6A25">
        <w:rPr>
          <w:rFonts w:ascii="Verdana" w:eastAsia="Times New Roman" w:hAnsi="Verdana" w:cs="Calibri"/>
          <w:sz w:val="24"/>
          <w:szCs w:val="24"/>
          <w:lang w:eastAsia="en-GB"/>
        </w:rPr>
        <w:t xml:space="preserve"> and, where appropriate, intervention programmes for groups of children and individual pupils.</w:t>
      </w:r>
    </w:p>
    <w:p w:rsidR="00657DBE" w:rsidRPr="009B6A25" w:rsidRDefault="00657DBE" w:rsidP="00657DBE">
      <w:pPr>
        <w:spacing w:after="225" w:line="270" w:lineRule="atLeast"/>
        <w:rPr>
          <w:rFonts w:ascii="Verdana" w:eastAsia="Times New Roman" w:hAnsi="Verdana" w:cs="Times New Roman"/>
          <w:sz w:val="24"/>
          <w:szCs w:val="24"/>
          <w:lang w:eastAsia="en-GB"/>
        </w:rPr>
      </w:pPr>
      <w:r w:rsidRPr="009B6A25">
        <w:rPr>
          <w:rFonts w:ascii="Verdana" w:eastAsia="Times New Roman" w:hAnsi="Verdana" w:cs="Calibri"/>
          <w:sz w:val="24"/>
          <w:szCs w:val="24"/>
          <w:lang w:eastAsia="en-GB"/>
        </w:rPr>
        <w:t>The progress and attainment of all pupils throughout the school is carefully monitored and where pupils are at risk of underachievement targeted intervention programmes are put in place.</w:t>
      </w:r>
    </w:p>
    <w:p w:rsidR="00657DBE" w:rsidRPr="009B6A25" w:rsidRDefault="00657DBE" w:rsidP="00657DBE">
      <w:pPr>
        <w:spacing w:after="225" w:line="270" w:lineRule="atLeast"/>
        <w:rPr>
          <w:rFonts w:ascii="Verdana" w:eastAsia="Times New Roman" w:hAnsi="Verdana" w:cs="Times New Roman"/>
          <w:sz w:val="24"/>
          <w:szCs w:val="24"/>
          <w:lang w:eastAsia="en-GB"/>
        </w:rPr>
      </w:pPr>
      <w:r w:rsidRPr="009B6A25">
        <w:rPr>
          <w:rFonts w:ascii="Verdana" w:eastAsia="Times New Roman" w:hAnsi="Verdana" w:cs="Calibri"/>
          <w:sz w:val="24"/>
          <w:szCs w:val="24"/>
          <w:lang w:eastAsia="en-GB"/>
        </w:rPr>
        <w:t xml:space="preserve">We recognise that not all pupils in receipt of free school meals are socially disadvantaged and that not all disadvantaged pupils are registered for free school meals. </w:t>
      </w:r>
    </w:p>
    <w:p w:rsidR="00B42940" w:rsidRDefault="00657DBE" w:rsidP="00657DBE">
      <w:pPr>
        <w:rPr>
          <w:rFonts w:ascii="Verdana" w:eastAsia="Times New Roman" w:hAnsi="Verdana" w:cs="Calibri"/>
          <w:sz w:val="24"/>
          <w:szCs w:val="24"/>
          <w:lang w:eastAsia="en-GB"/>
        </w:rPr>
      </w:pPr>
      <w:r w:rsidRPr="009B6A25">
        <w:rPr>
          <w:rFonts w:ascii="Verdana" w:eastAsia="Times New Roman" w:hAnsi="Verdana" w:cs="Calibri"/>
          <w:sz w:val="24"/>
          <w:szCs w:val="24"/>
          <w:lang w:eastAsia="en-GB"/>
        </w:rPr>
        <w:t>Pupil Premium is allocated within our school to support pupils who have been identified as being disadvantaged and at risk of underachievement. The funding may be allocated to classes, groups or individuals where a need has been identified through our monitoring systems. Not all pupils who receive free school meals will be receiving additional support at any one time.</w:t>
      </w:r>
    </w:p>
    <w:p w:rsidR="004D6E8B" w:rsidRDefault="00793D9C" w:rsidP="00657DBE">
      <w:pPr>
        <w:rPr>
          <w:rFonts w:ascii="Verdana" w:eastAsia="Times New Roman" w:hAnsi="Verdana" w:cs="Calibri"/>
          <w:sz w:val="40"/>
          <w:szCs w:val="40"/>
          <w:lang w:eastAsia="en-GB"/>
        </w:rPr>
      </w:pPr>
      <w:r>
        <w:rPr>
          <w:rFonts w:ascii="Verdana" w:eastAsia="Times New Roman" w:hAnsi="Verdana" w:cs="Calibri"/>
          <w:sz w:val="40"/>
          <w:szCs w:val="40"/>
          <w:lang w:eastAsia="en-GB"/>
        </w:rPr>
        <w:t>2018/19</w:t>
      </w:r>
    </w:p>
    <w:tbl>
      <w:tblPr>
        <w:tblStyle w:val="TableGrid"/>
        <w:tblW w:w="0" w:type="auto"/>
        <w:tblLook w:val="04A0" w:firstRow="1" w:lastRow="0" w:firstColumn="1" w:lastColumn="0" w:noHBand="0" w:noVBand="1"/>
      </w:tblPr>
      <w:tblGrid>
        <w:gridCol w:w="1540"/>
        <w:gridCol w:w="1540"/>
        <w:gridCol w:w="1540"/>
        <w:gridCol w:w="1540"/>
      </w:tblGrid>
      <w:tr w:rsidR="00D249F6" w:rsidTr="005B40E4">
        <w:tc>
          <w:tcPr>
            <w:tcW w:w="1540" w:type="dxa"/>
          </w:tcPr>
          <w:p w:rsidR="00D249F6" w:rsidRPr="004D6E8B" w:rsidRDefault="00D249F6" w:rsidP="005B40E4">
            <w:pPr>
              <w:rPr>
                <w:rFonts w:ascii="Verdana" w:eastAsia="Times New Roman" w:hAnsi="Verdana" w:cs="Calibri"/>
                <w:b/>
                <w:sz w:val="24"/>
                <w:szCs w:val="24"/>
                <w:lang w:eastAsia="en-GB"/>
              </w:rPr>
            </w:pPr>
            <w:r w:rsidRPr="004D6E8B">
              <w:rPr>
                <w:rFonts w:ascii="Verdana" w:eastAsia="Times New Roman" w:hAnsi="Verdana" w:cs="Calibri"/>
                <w:b/>
                <w:sz w:val="24"/>
                <w:szCs w:val="24"/>
                <w:lang w:eastAsia="en-GB"/>
              </w:rPr>
              <w:t>Academic Year</w:t>
            </w:r>
          </w:p>
        </w:tc>
        <w:tc>
          <w:tcPr>
            <w:tcW w:w="1540" w:type="dxa"/>
          </w:tcPr>
          <w:p w:rsidR="00D249F6" w:rsidRDefault="00793D9C" w:rsidP="005B40E4">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2018/19</w:t>
            </w:r>
          </w:p>
        </w:tc>
        <w:tc>
          <w:tcPr>
            <w:tcW w:w="1540" w:type="dxa"/>
          </w:tcPr>
          <w:p w:rsidR="00D249F6" w:rsidRDefault="00D249F6" w:rsidP="005B40E4">
            <w:pPr>
              <w:rPr>
                <w:rFonts w:ascii="Verdana" w:eastAsia="Times New Roman" w:hAnsi="Verdana" w:cs="Calibri"/>
                <w:sz w:val="24"/>
                <w:szCs w:val="24"/>
                <w:lang w:eastAsia="en-GB"/>
              </w:rPr>
            </w:pPr>
            <w:r>
              <w:rPr>
                <w:rFonts w:ascii="Verdana" w:eastAsia="Times New Roman" w:hAnsi="Verdana" w:cs="Calibri"/>
                <w:sz w:val="24"/>
                <w:szCs w:val="24"/>
                <w:lang w:eastAsia="en-GB"/>
              </w:rPr>
              <w:t>Total PP Budget</w:t>
            </w:r>
          </w:p>
        </w:tc>
        <w:tc>
          <w:tcPr>
            <w:tcW w:w="1540" w:type="dxa"/>
          </w:tcPr>
          <w:p w:rsidR="00D249F6" w:rsidRDefault="00EF7EF7" w:rsidP="00EF7EF7">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£163,680</w:t>
            </w:r>
          </w:p>
        </w:tc>
      </w:tr>
      <w:tr w:rsidR="00D249F6" w:rsidTr="005B40E4">
        <w:tc>
          <w:tcPr>
            <w:tcW w:w="1540" w:type="dxa"/>
          </w:tcPr>
          <w:p w:rsidR="00B657C9" w:rsidRDefault="00D249F6" w:rsidP="005B40E4">
            <w:pPr>
              <w:rPr>
                <w:rFonts w:ascii="Verdana" w:eastAsia="Times New Roman" w:hAnsi="Verdana" w:cs="Calibri"/>
                <w:sz w:val="24"/>
                <w:szCs w:val="24"/>
                <w:lang w:eastAsia="en-GB"/>
              </w:rPr>
            </w:pPr>
            <w:r>
              <w:rPr>
                <w:rFonts w:ascii="Verdana" w:eastAsia="Times New Roman" w:hAnsi="Verdana" w:cs="Calibri"/>
                <w:sz w:val="24"/>
                <w:szCs w:val="24"/>
                <w:lang w:eastAsia="en-GB"/>
              </w:rPr>
              <w:t>Total number of pupils</w:t>
            </w:r>
            <w:r w:rsidR="00B657C9">
              <w:rPr>
                <w:rFonts w:ascii="Verdana" w:eastAsia="Times New Roman" w:hAnsi="Verdana" w:cs="Calibri"/>
                <w:sz w:val="24"/>
                <w:szCs w:val="24"/>
                <w:lang w:eastAsia="en-GB"/>
              </w:rPr>
              <w:t xml:space="preserve"> </w:t>
            </w:r>
          </w:p>
          <w:p w:rsidR="00D249F6" w:rsidRDefault="00EF7EF7" w:rsidP="005B40E4">
            <w:pPr>
              <w:rPr>
                <w:rFonts w:ascii="Verdana" w:eastAsia="Times New Roman" w:hAnsi="Verdana" w:cs="Calibri"/>
                <w:sz w:val="24"/>
                <w:szCs w:val="24"/>
                <w:lang w:eastAsia="en-GB"/>
              </w:rPr>
            </w:pPr>
            <w:r>
              <w:rPr>
                <w:rFonts w:ascii="Verdana" w:eastAsia="Times New Roman" w:hAnsi="Verdana" w:cs="Calibri"/>
                <w:sz w:val="24"/>
                <w:szCs w:val="24"/>
                <w:lang w:eastAsia="en-GB"/>
              </w:rPr>
              <w:t>(Jan 18</w:t>
            </w:r>
            <w:r w:rsidR="00B657C9">
              <w:rPr>
                <w:rFonts w:ascii="Verdana" w:eastAsia="Times New Roman" w:hAnsi="Verdana" w:cs="Calibri"/>
                <w:sz w:val="24"/>
                <w:szCs w:val="24"/>
                <w:lang w:eastAsia="en-GB"/>
              </w:rPr>
              <w:t>)</w:t>
            </w:r>
          </w:p>
        </w:tc>
        <w:tc>
          <w:tcPr>
            <w:tcW w:w="1540" w:type="dxa"/>
          </w:tcPr>
          <w:p w:rsidR="00CB275F" w:rsidRDefault="00CB275F" w:rsidP="005B40E4">
            <w:pPr>
              <w:jc w:val="center"/>
              <w:rPr>
                <w:rFonts w:ascii="Verdana" w:eastAsia="Times New Roman" w:hAnsi="Verdana" w:cs="Calibri"/>
                <w:sz w:val="24"/>
                <w:szCs w:val="24"/>
                <w:lang w:eastAsia="en-GB"/>
              </w:rPr>
            </w:pPr>
          </w:p>
          <w:p w:rsidR="00D249F6" w:rsidRDefault="00EF7EF7" w:rsidP="000223B0">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282</w:t>
            </w:r>
          </w:p>
        </w:tc>
        <w:tc>
          <w:tcPr>
            <w:tcW w:w="1540" w:type="dxa"/>
          </w:tcPr>
          <w:p w:rsidR="00B657C9" w:rsidRDefault="00D249F6" w:rsidP="005B40E4">
            <w:pPr>
              <w:rPr>
                <w:rFonts w:ascii="Verdana" w:eastAsia="Times New Roman" w:hAnsi="Verdana" w:cs="Calibri"/>
                <w:sz w:val="24"/>
                <w:szCs w:val="24"/>
                <w:lang w:eastAsia="en-GB"/>
              </w:rPr>
            </w:pPr>
            <w:r>
              <w:rPr>
                <w:rFonts w:ascii="Verdana" w:eastAsia="Times New Roman" w:hAnsi="Verdana" w:cs="Calibri"/>
                <w:sz w:val="24"/>
                <w:szCs w:val="24"/>
                <w:lang w:eastAsia="en-GB"/>
              </w:rPr>
              <w:t>Number of pupils eligible for PP</w:t>
            </w:r>
            <w:r w:rsidR="00B657C9">
              <w:rPr>
                <w:rFonts w:ascii="Verdana" w:eastAsia="Times New Roman" w:hAnsi="Verdana" w:cs="Calibri"/>
                <w:sz w:val="24"/>
                <w:szCs w:val="24"/>
                <w:lang w:eastAsia="en-GB"/>
              </w:rPr>
              <w:t xml:space="preserve"> </w:t>
            </w:r>
          </w:p>
          <w:p w:rsidR="00D249F6" w:rsidRDefault="00EF7EF7" w:rsidP="005B40E4">
            <w:pPr>
              <w:rPr>
                <w:rFonts w:ascii="Verdana" w:eastAsia="Times New Roman" w:hAnsi="Verdana" w:cs="Calibri"/>
                <w:sz w:val="24"/>
                <w:szCs w:val="24"/>
                <w:lang w:eastAsia="en-GB"/>
              </w:rPr>
            </w:pPr>
            <w:r>
              <w:rPr>
                <w:rFonts w:ascii="Verdana" w:eastAsia="Times New Roman" w:hAnsi="Verdana" w:cs="Calibri"/>
                <w:sz w:val="24"/>
                <w:szCs w:val="24"/>
                <w:lang w:eastAsia="en-GB"/>
              </w:rPr>
              <w:t>(Jan 18</w:t>
            </w:r>
            <w:r w:rsidR="00B657C9">
              <w:rPr>
                <w:rFonts w:ascii="Verdana" w:eastAsia="Times New Roman" w:hAnsi="Verdana" w:cs="Calibri"/>
                <w:sz w:val="24"/>
                <w:szCs w:val="24"/>
                <w:lang w:eastAsia="en-GB"/>
              </w:rPr>
              <w:t>)</w:t>
            </w:r>
          </w:p>
        </w:tc>
        <w:tc>
          <w:tcPr>
            <w:tcW w:w="1540" w:type="dxa"/>
          </w:tcPr>
          <w:p w:rsidR="00D249F6" w:rsidRDefault="00D249F6" w:rsidP="005B40E4">
            <w:pPr>
              <w:jc w:val="center"/>
              <w:rPr>
                <w:rFonts w:ascii="Verdana" w:eastAsia="Times New Roman" w:hAnsi="Verdana" w:cs="Calibri"/>
                <w:sz w:val="24"/>
                <w:szCs w:val="24"/>
                <w:lang w:eastAsia="en-GB"/>
              </w:rPr>
            </w:pPr>
          </w:p>
          <w:p w:rsidR="00CB275F" w:rsidRDefault="00EF26F1" w:rsidP="005B40E4">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124 (</w:t>
            </w:r>
            <w:proofErr w:type="spellStart"/>
            <w:r>
              <w:rPr>
                <w:rFonts w:ascii="Verdana" w:eastAsia="Times New Roman" w:hAnsi="Verdana" w:cs="Calibri"/>
                <w:sz w:val="24"/>
                <w:szCs w:val="24"/>
                <w:lang w:eastAsia="en-GB"/>
              </w:rPr>
              <w:t>inc</w:t>
            </w:r>
            <w:proofErr w:type="spellEnd"/>
            <w:r>
              <w:rPr>
                <w:rFonts w:ascii="Verdana" w:eastAsia="Times New Roman" w:hAnsi="Verdana" w:cs="Calibri"/>
                <w:sz w:val="24"/>
                <w:szCs w:val="24"/>
                <w:lang w:eastAsia="en-GB"/>
              </w:rPr>
              <w:t xml:space="preserve"> 2 LAC PPG)</w:t>
            </w:r>
          </w:p>
        </w:tc>
      </w:tr>
    </w:tbl>
    <w:p w:rsidR="00CB275F" w:rsidRDefault="00CB275F" w:rsidP="00657DBE">
      <w:pPr>
        <w:rPr>
          <w:rFonts w:ascii="Verdana" w:eastAsia="Times New Roman" w:hAnsi="Verdana" w:cs="Calibri"/>
          <w:sz w:val="24"/>
          <w:szCs w:val="24"/>
          <w:lang w:eastAsia="en-GB"/>
        </w:rPr>
      </w:pPr>
    </w:p>
    <w:p w:rsidR="00CB275F" w:rsidRDefault="00CB275F">
      <w:pPr>
        <w:rPr>
          <w:rFonts w:ascii="Verdana" w:eastAsia="Times New Roman" w:hAnsi="Verdana" w:cs="Calibri"/>
          <w:sz w:val="24"/>
          <w:szCs w:val="24"/>
          <w:lang w:eastAsia="en-GB"/>
        </w:rPr>
      </w:pPr>
      <w:r>
        <w:rPr>
          <w:rFonts w:ascii="Verdana" w:eastAsia="Times New Roman" w:hAnsi="Verdana" w:cs="Calibri"/>
          <w:sz w:val="24"/>
          <w:szCs w:val="24"/>
          <w:lang w:eastAsia="en-GB"/>
        </w:rPr>
        <w:br w:type="page"/>
      </w:r>
    </w:p>
    <w:p w:rsidR="004D6E8B" w:rsidRDefault="004D6E8B" w:rsidP="00657DBE">
      <w:pPr>
        <w:rPr>
          <w:rFonts w:ascii="Verdana" w:eastAsia="Times New Roman" w:hAnsi="Verdana" w:cs="Calibri"/>
          <w:sz w:val="24"/>
          <w:szCs w:val="24"/>
          <w:lang w:eastAsia="en-GB"/>
        </w:rPr>
      </w:pPr>
    </w:p>
    <w:tbl>
      <w:tblPr>
        <w:tblStyle w:val="TableGrid"/>
        <w:tblW w:w="0" w:type="auto"/>
        <w:tblLook w:val="04A0" w:firstRow="1" w:lastRow="0" w:firstColumn="1" w:lastColumn="0" w:noHBand="0" w:noVBand="1"/>
      </w:tblPr>
      <w:tblGrid>
        <w:gridCol w:w="2898"/>
        <w:gridCol w:w="2970"/>
        <w:gridCol w:w="2790"/>
      </w:tblGrid>
      <w:tr w:rsidR="00C937EB" w:rsidTr="00C937EB">
        <w:tc>
          <w:tcPr>
            <w:tcW w:w="2898" w:type="dxa"/>
          </w:tcPr>
          <w:p w:rsidR="00C937EB" w:rsidRPr="00D249F6" w:rsidRDefault="00E3624C" w:rsidP="00D249F6">
            <w:pPr>
              <w:jc w:val="center"/>
              <w:rPr>
                <w:rFonts w:ascii="Verdana" w:eastAsia="Times New Roman" w:hAnsi="Verdana" w:cs="Calibri"/>
                <w:b/>
                <w:sz w:val="24"/>
                <w:szCs w:val="24"/>
                <w:lang w:eastAsia="en-GB"/>
              </w:rPr>
            </w:pPr>
            <w:r>
              <w:rPr>
                <w:rFonts w:ascii="Verdana" w:eastAsia="Times New Roman" w:hAnsi="Verdana" w:cs="Calibri"/>
                <w:b/>
                <w:sz w:val="24"/>
                <w:szCs w:val="24"/>
                <w:lang w:eastAsia="en-GB"/>
              </w:rPr>
              <w:t>2019</w:t>
            </w:r>
            <w:r w:rsidR="001151CC">
              <w:rPr>
                <w:rFonts w:ascii="Verdana" w:eastAsia="Times New Roman" w:hAnsi="Verdana" w:cs="Calibri"/>
                <w:b/>
                <w:sz w:val="24"/>
                <w:szCs w:val="24"/>
                <w:lang w:eastAsia="en-GB"/>
              </w:rPr>
              <w:t xml:space="preserve"> </w:t>
            </w:r>
            <w:r w:rsidR="00C937EB">
              <w:rPr>
                <w:rFonts w:ascii="Verdana" w:eastAsia="Times New Roman" w:hAnsi="Verdana" w:cs="Calibri"/>
                <w:b/>
                <w:sz w:val="24"/>
                <w:szCs w:val="24"/>
                <w:lang w:eastAsia="en-GB"/>
              </w:rPr>
              <w:t xml:space="preserve">KS2 </w:t>
            </w:r>
            <w:r w:rsidR="00C937EB" w:rsidRPr="00D249F6">
              <w:rPr>
                <w:rFonts w:ascii="Verdana" w:eastAsia="Times New Roman" w:hAnsi="Verdana" w:cs="Calibri"/>
                <w:b/>
                <w:sz w:val="24"/>
                <w:szCs w:val="24"/>
                <w:lang w:eastAsia="en-GB"/>
              </w:rPr>
              <w:t>Pupil Outcomes for Pupil Premium</w:t>
            </w:r>
          </w:p>
        </w:tc>
        <w:tc>
          <w:tcPr>
            <w:tcW w:w="2970" w:type="dxa"/>
          </w:tcPr>
          <w:p w:rsidR="00C937EB" w:rsidRPr="00D249F6" w:rsidRDefault="00C937EB" w:rsidP="00D249F6">
            <w:pPr>
              <w:jc w:val="center"/>
              <w:rPr>
                <w:rFonts w:ascii="Verdana" w:eastAsia="Times New Roman" w:hAnsi="Verdana" w:cs="Calibri"/>
                <w:b/>
                <w:sz w:val="24"/>
                <w:szCs w:val="24"/>
                <w:lang w:eastAsia="en-GB"/>
              </w:rPr>
            </w:pPr>
            <w:r w:rsidRPr="00D249F6">
              <w:rPr>
                <w:rFonts w:ascii="Verdana" w:eastAsia="Times New Roman" w:hAnsi="Verdana" w:cs="Calibri"/>
                <w:b/>
                <w:sz w:val="24"/>
                <w:szCs w:val="24"/>
                <w:lang w:eastAsia="en-GB"/>
              </w:rPr>
              <w:t xml:space="preserve">Ivybridge </w:t>
            </w:r>
          </w:p>
          <w:p w:rsidR="00C937EB" w:rsidRPr="00D249F6" w:rsidRDefault="00C937EB" w:rsidP="00D249F6">
            <w:pPr>
              <w:jc w:val="center"/>
              <w:rPr>
                <w:rFonts w:ascii="Verdana" w:eastAsia="Times New Roman" w:hAnsi="Verdana" w:cs="Calibri"/>
                <w:b/>
                <w:sz w:val="24"/>
                <w:szCs w:val="24"/>
                <w:lang w:eastAsia="en-GB"/>
              </w:rPr>
            </w:pPr>
            <w:r w:rsidRPr="00D249F6">
              <w:rPr>
                <w:rFonts w:ascii="Verdana" w:eastAsia="Times New Roman" w:hAnsi="Verdana" w:cs="Calibri"/>
                <w:b/>
                <w:sz w:val="24"/>
                <w:szCs w:val="24"/>
                <w:lang w:eastAsia="en-GB"/>
              </w:rPr>
              <w:t>Primary</w:t>
            </w:r>
            <w:r w:rsidR="001151CC">
              <w:rPr>
                <w:rFonts w:ascii="Verdana" w:eastAsia="Times New Roman" w:hAnsi="Verdana" w:cs="Calibri"/>
                <w:b/>
                <w:sz w:val="24"/>
                <w:szCs w:val="24"/>
                <w:lang w:eastAsia="en-GB"/>
              </w:rPr>
              <w:t xml:space="preserve"> - PPG</w:t>
            </w:r>
          </w:p>
        </w:tc>
        <w:tc>
          <w:tcPr>
            <w:tcW w:w="2790" w:type="dxa"/>
          </w:tcPr>
          <w:p w:rsidR="00C937EB" w:rsidRPr="00D249F6" w:rsidRDefault="00C937EB" w:rsidP="00D249F6">
            <w:pPr>
              <w:jc w:val="center"/>
              <w:rPr>
                <w:rFonts w:ascii="Verdana" w:eastAsia="Times New Roman" w:hAnsi="Verdana" w:cs="Calibri"/>
                <w:b/>
                <w:sz w:val="24"/>
                <w:szCs w:val="24"/>
                <w:lang w:eastAsia="en-GB"/>
              </w:rPr>
            </w:pPr>
            <w:r w:rsidRPr="00D249F6">
              <w:rPr>
                <w:rFonts w:ascii="Verdana" w:eastAsia="Times New Roman" w:hAnsi="Verdana" w:cs="Calibri"/>
                <w:b/>
                <w:sz w:val="24"/>
                <w:szCs w:val="24"/>
                <w:lang w:eastAsia="en-GB"/>
              </w:rPr>
              <w:t>National</w:t>
            </w:r>
            <w:r w:rsidR="001151CC">
              <w:rPr>
                <w:rFonts w:ascii="Verdana" w:eastAsia="Times New Roman" w:hAnsi="Verdana" w:cs="Calibri"/>
                <w:b/>
                <w:sz w:val="24"/>
                <w:szCs w:val="24"/>
                <w:lang w:eastAsia="en-GB"/>
              </w:rPr>
              <w:t xml:space="preserve"> – all pupils</w:t>
            </w:r>
          </w:p>
        </w:tc>
      </w:tr>
      <w:tr w:rsidR="00C937EB" w:rsidTr="00C937EB">
        <w:tc>
          <w:tcPr>
            <w:tcW w:w="2898" w:type="dxa"/>
          </w:tcPr>
          <w:p w:rsidR="00C937EB" w:rsidRPr="00D249F6" w:rsidRDefault="00C937EB">
            <w:pPr>
              <w:rPr>
                <w:rFonts w:ascii="Verdana" w:eastAsia="Times New Roman" w:hAnsi="Verdana" w:cs="Calibri"/>
                <w:sz w:val="24"/>
                <w:szCs w:val="24"/>
                <w:lang w:eastAsia="en-GB"/>
              </w:rPr>
            </w:pPr>
            <w:r>
              <w:rPr>
                <w:rFonts w:ascii="Verdana" w:eastAsia="Times New Roman" w:hAnsi="Verdana" w:cs="Calibri"/>
                <w:sz w:val="24"/>
                <w:szCs w:val="24"/>
                <w:lang w:eastAsia="en-GB"/>
              </w:rPr>
              <w:t>% achieving expected level in reading</w:t>
            </w:r>
          </w:p>
        </w:tc>
        <w:tc>
          <w:tcPr>
            <w:tcW w:w="297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68%</w:t>
            </w:r>
          </w:p>
        </w:tc>
        <w:tc>
          <w:tcPr>
            <w:tcW w:w="279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73%</w:t>
            </w:r>
          </w:p>
        </w:tc>
      </w:tr>
      <w:tr w:rsidR="00C937EB" w:rsidTr="00C937EB">
        <w:tc>
          <w:tcPr>
            <w:tcW w:w="2898" w:type="dxa"/>
          </w:tcPr>
          <w:p w:rsidR="00C937EB" w:rsidRPr="00D249F6" w:rsidRDefault="00C937EB" w:rsidP="00D249F6">
            <w:pPr>
              <w:rPr>
                <w:rFonts w:ascii="Verdana" w:eastAsia="Times New Roman" w:hAnsi="Verdana" w:cs="Calibri"/>
                <w:sz w:val="40"/>
                <w:szCs w:val="40"/>
                <w:lang w:eastAsia="en-GB"/>
              </w:rPr>
            </w:pPr>
            <w:r>
              <w:rPr>
                <w:rFonts w:ascii="Verdana" w:eastAsia="Times New Roman" w:hAnsi="Verdana" w:cs="Calibri"/>
                <w:sz w:val="24"/>
                <w:szCs w:val="24"/>
                <w:lang w:eastAsia="en-GB"/>
              </w:rPr>
              <w:t>% achieving higher level in reading</w:t>
            </w:r>
          </w:p>
        </w:tc>
        <w:tc>
          <w:tcPr>
            <w:tcW w:w="297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23%</w:t>
            </w:r>
          </w:p>
        </w:tc>
        <w:tc>
          <w:tcPr>
            <w:tcW w:w="279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27%</w:t>
            </w:r>
          </w:p>
        </w:tc>
      </w:tr>
      <w:tr w:rsidR="00C937EB" w:rsidTr="00C937EB">
        <w:tc>
          <w:tcPr>
            <w:tcW w:w="2898" w:type="dxa"/>
          </w:tcPr>
          <w:p w:rsidR="00C937EB" w:rsidRPr="00D249F6" w:rsidRDefault="00C937EB">
            <w:pPr>
              <w:rPr>
                <w:rFonts w:ascii="Verdana" w:eastAsia="Times New Roman" w:hAnsi="Verdana" w:cs="Calibri"/>
                <w:sz w:val="40"/>
                <w:szCs w:val="40"/>
                <w:lang w:eastAsia="en-GB"/>
              </w:rPr>
            </w:pPr>
            <w:r>
              <w:rPr>
                <w:rFonts w:ascii="Verdana" w:eastAsia="Times New Roman" w:hAnsi="Verdana" w:cs="Calibri"/>
                <w:sz w:val="24"/>
                <w:szCs w:val="24"/>
                <w:lang w:eastAsia="en-GB"/>
              </w:rPr>
              <w:t>% achieving expected level in writing</w:t>
            </w:r>
          </w:p>
        </w:tc>
        <w:tc>
          <w:tcPr>
            <w:tcW w:w="297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81%</w:t>
            </w:r>
          </w:p>
        </w:tc>
        <w:tc>
          <w:tcPr>
            <w:tcW w:w="279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78%</w:t>
            </w:r>
          </w:p>
        </w:tc>
      </w:tr>
      <w:tr w:rsidR="00C937EB" w:rsidTr="00C937EB">
        <w:tc>
          <w:tcPr>
            <w:tcW w:w="2898" w:type="dxa"/>
          </w:tcPr>
          <w:p w:rsidR="00C937EB" w:rsidRPr="00D249F6" w:rsidRDefault="00C937EB">
            <w:pPr>
              <w:rPr>
                <w:rFonts w:ascii="Verdana" w:eastAsia="Times New Roman" w:hAnsi="Verdana" w:cs="Calibri"/>
                <w:sz w:val="40"/>
                <w:szCs w:val="40"/>
                <w:lang w:eastAsia="en-GB"/>
              </w:rPr>
            </w:pPr>
            <w:r>
              <w:rPr>
                <w:rFonts w:ascii="Verdana" w:eastAsia="Times New Roman" w:hAnsi="Verdana" w:cs="Calibri"/>
                <w:sz w:val="24"/>
                <w:szCs w:val="24"/>
                <w:lang w:eastAsia="en-GB"/>
              </w:rPr>
              <w:t>% achieving higher level in writing</w:t>
            </w:r>
          </w:p>
        </w:tc>
        <w:tc>
          <w:tcPr>
            <w:tcW w:w="297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23%</w:t>
            </w:r>
          </w:p>
        </w:tc>
        <w:tc>
          <w:tcPr>
            <w:tcW w:w="279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20%</w:t>
            </w:r>
          </w:p>
        </w:tc>
      </w:tr>
      <w:tr w:rsidR="00C937EB" w:rsidTr="00C937EB">
        <w:tc>
          <w:tcPr>
            <w:tcW w:w="2898" w:type="dxa"/>
          </w:tcPr>
          <w:p w:rsidR="00C937EB" w:rsidRPr="00D249F6" w:rsidRDefault="00C937EB">
            <w:pPr>
              <w:rPr>
                <w:rFonts w:ascii="Verdana" w:eastAsia="Times New Roman" w:hAnsi="Verdana" w:cs="Calibri"/>
                <w:sz w:val="40"/>
                <w:szCs w:val="40"/>
                <w:lang w:eastAsia="en-GB"/>
              </w:rPr>
            </w:pPr>
            <w:r>
              <w:rPr>
                <w:rFonts w:ascii="Verdana" w:eastAsia="Times New Roman" w:hAnsi="Verdana" w:cs="Calibri"/>
                <w:sz w:val="24"/>
                <w:szCs w:val="24"/>
                <w:lang w:eastAsia="en-GB"/>
              </w:rPr>
              <w:t>% achieving expected level in maths</w:t>
            </w:r>
          </w:p>
        </w:tc>
        <w:tc>
          <w:tcPr>
            <w:tcW w:w="297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74%</w:t>
            </w:r>
          </w:p>
        </w:tc>
        <w:tc>
          <w:tcPr>
            <w:tcW w:w="279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79%</w:t>
            </w:r>
          </w:p>
        </w:tc>
      </w:tr>
      <w:tr w:rsidR="00C937EB" w:rsidTr="00C937EB">
        <w:tc>
          <w:tcPr>
            <w:tcW w:w="2898" w:type="dxa"/>
          </w:tcPr>
          <w:p w:rsidR="00C937EB" w:rsidRPr="00D249F6" w:rsidRDefault="00C937EB">
            <w:pPr>
              <w:rPr>
                <w:rFonts w:ascii="Verdana" w:eastAsia="Times New Roman" w:hAnsi="Verdana" w:cs="Calibri"/>
                <w:sz w:val="40"/>
                <w:szCs w:val="40"/>
                <w:lang w:eastAsia="en-GB"/>
              </w:rPr>
            </w:pPr>
            <w:r>
              <w:rPr>
                <w:rFonts w:ascii="Verdana" w:eastAsia="Times New Roman" w:hAnsi="Verdana" w:cs="Calibri"/>
                <w:sz w:val="24"/>
                <w:szCs w:val="24"/>
                <w:lang w:eastAsia="en-GB"/>
              </w:rPr>
              <w:t>% achieving higher level in maths</w:t>
            </w:r>
          </w:p>
        </w:tc>
        <w:tc>
          <w:tcPr>
            <w:tcW w:w="297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23%</w:t>
            </w:r>
          </w:p>
        </w:tc>
        <w:tc>
          <w:tcPr>
            <w:tcW w:w="279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27%</w:t>
            </w:r>
            <w:bookmarkStart w:id="0" w:name="_GoBack"/>
            <w:bookmarkEnd w:id="0"/>
          </w:p>
        </w:tc>
      </w:tr>
      <w:tr w:rsidR="00C937EB" w:rsidTr="00C937EB">
        <w:tc>
          <w:tcPr>
            <w:tcW w:w="2898" w:type="dxa"/>
          </w:tcPr>
          <w:p w:rsidR="00C937EB" w:rsidRPr="00D249F6" w:rsidRDefault="00C937EB">
            <w:pPr>
              <w:rPr>
                <w:rFonts w:ascii="Verdana" w:eastAsia="Times New Roman" w:hAnsi="Verdana" w:cs="Calibri"/>
                <w:sz w:val="24"/>
                <w:szCs w:val="24"/>
                <w:lang w:eastAsia="en-GB"/>
              </w:rPr>
            </w:pPr>
            <w:r w:rsidRPr="00D249F6">
              <w:rPr>
                <w:rFonts w:ascii="Verdana" w:eastAsia="Times New Roman" w:hAnsi="Verdana" w:cs="Calibri"/>
                <w:sz w:val="24"/>
                <w:szCs w:val="24"/>
                <w:lang w:eastAsia="en-GB"/>
              </w:rPr>
              <w:t>Progress</w:t>
            </w:r>
            <w:r>
              <w:rPr>
                <w:rFonts w:ascii="Verdana" w:eastAsia="Times New Roman" w:hAnsi="Verdana" w:cs="Calibri"/>
                <w:sz w:val="24"/>
                <w:szCs w:val="24"/>
                <w:lang w:eastAsia="en-GB"/>
              </w:rPr>
              <w:t xml:space="preserve"> measure for reading</w:t>
            </w:r>
          </w:p>
        </w:tc>
        <w:tc>
          <w:tcPr>
            <w:tcW w:w="297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-3.4</w:t>
            </w:r>
          </w:p>
        </w:tc>
        <w:tc>
          <w:tcPr>
            <w:tcW w:w="2790" w:type="dxa"/>
          </w:tcPr>
          <w:p w:rsidR="00C937EB" w:rsidRPr="001C64B1" w:rsidRDefault="00BA6BC7"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0</w:t>
            </w:r>
          </w:p>
        </w:tc>
      </w:tr>
      <w:tr w:rsidR="00C937EB" w:rsidTr="00C937EB">
        <w:tc>
          <w:tcPr>
            <w:tcW w:w="2898" w:type="dxa"/>
          </w:tcPr>
          <w:p w:rsidR="00C937EB" w:rsidRPr="00D249F6" w:rsidRDefault="00C937EB">
            <w:pPr>
              <w:rPr>
                <w:rFonts w:ascii="Verdana" w:eastAsia="Times New Roman" w:hAnsi="Verdana" w:cs="Calibri"/>
                <w:sz w:val="24"/>
                <w:szCs w:val="24"/>
                <w:lang w:eastAsia="en-GB"/>
              </w:rPr>
            </w:pPr>
            <w:r w:rsidRPr="00D249F6">
              <w:rPr>
                <w:rFonts w:ascii="Verdana" w:eastAsia="Times New Roman" w:hAnsi="Verdana" w:cs="Calibri"/>
                <w:sz w:val="24"/>
                <w:szCs w:val="24"/>
                <w:lang w:eastAsia="en-GB"/>
              </w:rPr>
              <w:t>Progress</w:t>
            </w:r>
            <w:r>
              <w:rPr>
                <w:rFonts w:ascii="Verdana" w:eastAsia="Times New Roman" w:hAnsi="Verdana" w:cs="Calibri"/>
                <w:sz w:val="24"/>
                <w:szCs w:val="24"/>
                <w:lang w:eastAsia="en-GB"/>
              </w:rPr>
              <w:t xml:space="preserve"> measure for writing</w:t>
            </w:r>
          </w:p>
        </w:tc>
        <w:tc>
          <w:tcPr>
            <w:tcW w:w="2970" w:type="dxa"/>
          </w:tcPr>
          <w:p w:rsidR="00C937EB" w:rsidRPr="001C64B1" w:rsidRDefault="00EC5EA4"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-1.1</w:t>
            </w:r>
          </w:p>
        </w:tc>
        <w:tc>
          <w:tcPr>
            <w:tcW w:w="2790" w:type="dxa"/>
          </w:tcPr>
          <w:p w:rsidR="00C937EB" w:rsidRPr="001C64B1" w:rsidRDefault="00BA6BC7"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0</w:t>
            </w:r>
          </w:p>
        </w:tc>
      </w:tr>
      <w:tr w:rsidR="00C937EB" w:rsidTr="00C937EB">
        <w:tc>
          <w:tcPr>
            <w:tcW w:w="2898" w:type="dxa"/>
          </w:tcPr>
          <w:p w:rsidR="00C937EB" w:rsidRPr="00D249F6" w:rsidRDefault="00C937EB">
            <w:pPr>
              <w:rPr>
                <w:rFonts w:ascii="Verdana" w:eastAsia="Times New Roman" w:hAnsi="Verdana" w:cs="Calibri"/>
                <w:sz w:val="24"/>
                <w:szCs w:val="24"/>
                <w:lang w:eastAsia="en-GB"/>
              </w:rPr>
            </w:pPr>
            <w:r w:rsidRPr="00D249F6">
              <w:rPr>
                <w:rFonts w:ascii="Verdana" w:eastAsia="Times New Roman" w:hAnsi="Verdana" w:cs="Calibri"/>
                <w:sz w:val="24"/>
                <w:szCs w:val="24"/>
                <w:lang w:eastAsia="en-GB"/>
              </w:rPr>
              <w:t>Progress</w:t>
            </w:r>
            <w:r>
              <w:rPr>
                <w:rFonts w:ascii="Verdana" w:eastAsia="Times New Roman" w:hAnsi="Verdana" w:cs="Calibri"/>
                <w:sz w:val="24"/>
                <w:szCs w:val="24"/>
                <w:lang w:eastAsia="en-GB"/>
              </w:rPr>
              <w:t xml:space="preserve"> measure for maths</w:t>
            </w:r>
          </w:p>
        </w:tc>
        <w:tc>
          <w:tcPr>
            <w:tcW w:w="2970" w:type="dxa"/>
          </w:tcPr>
          <w:p w:rsidR="00C937EB" w:rsidRPr="001C64B1" w:rsidRDefault="00EC5EA4" w:rsidP="00EC5EA4">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-3</w:t>
            </w:r>
          </w:p>
        </w:tc>
        <w:tc>
          <w:tcPr>
            <w:tcW w:w="2790" w:type="dxa"/>
          </w:tcPr>
          <w:p w:rsidR="00C937EB" w:rsidRPr="001C64B1" w:rsidRDefault="00BA6BC7" w:rsidP="007E4FE3">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0</w:t>
            </w:r>
          </w:p>
        </w:tc>
      </w:tr>
    </w:tbl>
    <w:p w:rsidR="004D6E8B" w:rsidRDefault="004D6E8B">
      <w:pPr>
        <w:rPr>
          <w:rFonts w:ascii="Verdana" w:eastAsia="Times New Roman" w:hAnsi="Verdana" w:cs="Calibri"/>
          <w:sz w:val="40"/>
          <w:szCs w:val="40"/>
          <w:lang w:eastAsia="en-GB"/>
        </w:rPr>
      </w:pPr>
      <w:r>
        <w:rPr>
          <w:rFonts w:ascii="Verdana" w:eastAsia="Times New Roman" w:hAnsi="Verdana" w:cs="Calibri"/>
          <w:sz w:val="40"/>
          <w:szCs w:val="40"/>
          <w:lang w:eastAsia="en-GB"/>
        </w:rPr>
        <w:br w:type="page"/>
      </w:r>
    </w:p>
    <w:p w:rsidR="004D6E8B" w:rsidRDefault="00E3624C" w:rsidP="00657DBE">
      <w:pPr>
        <w:rPr>
          <w:rFonts w:ascii="Verdana" w:eastAsia="Times New Roman" w:hAnsi="Verdana" w:cs="Calibri"/>
          <w:sz w:val="40"/>
          <w:szCs w:val="40"/>
          <w:lang w:eastAsia="en-GB"/>
        </w:rPr>
      </w:pPr>
      <w:r>
        <w:rPr>
          <w:rFonts w:ascii="Verdana" w:eastAsia="Times New Roman" w:hAnsi="Verdana" w:cs="Calibri"/>
          <w:sz w:val="40"/>
          <w:szCs w:val="40"/>
          <w:lang w:eastAsia="en-GB"/>
        </w:rPr>
        <w:lastRenderedPageBreak/>
        <w:t>2019/20</w:t>
      </w:r>
    </w:p>
    <w:tbl>
      <w:tblPr>
        <w:tblStyle w:val="TableGrid"/>
        <w:tblW w:w="0" w:type="auto"/>
        <w:tblLook w:val="04A0" w:firstRow="1" w:lastRow="0" w:firstColumn="1" w:lastColumn="0" w:noHBand="0" w:noVBand="1"/>
      </w:tblPr>
      <w:tblGrid>
        <w:gridCol w:w="1536"/>
        <w:gridCol w:w="1496"/>
        <w:gridCol w:w="1486"/>
        <w:gridCol w:w="1515"/>
        <w:gridCol w:w="1498"/>
        <w:gridCol w:w="1485"/>
      </w:tblGrid>
      <w:tr w:rsidR="004D6E8B" w:rsidTr="004D6E8B">
        <w:tc>
          <w:tcPr>
            <w:tcW w:w="1540" w:type="dxa"/>
          </w:tcPr>
          <w:p w:rsidR="004D6E8B" w:rsidRPr="004D6E8B" w:rsidRDefault="004D6E8B" w:rsidP="00657DBE">
            <w:pPr>
              <w:rPr>
                <w:rFonts w:ascii="Verdana" w:eastAsia="Times New Roman" w:hAnsi="Verdana" w:cs="Calibri"/>
                <w:b/>
                <w:sz w:val="24"/>
                <w:szCs w:val="24"/>
                <w:lang w:eastAsia="en-GB"/>
              </w:rPr>
            </w:pPr>
            <w:r w:rsidRPr="004D6E8B">
              <w:rPr>
                <w:rFonts w:ascii="Verdana" w:eastAsia="Times New Roman" w:hAnsi="Verdana" w:cs="Calibri"/>
                <w:b/>
                <w:sz w:val="24"/>
                <w:szCs w:val="24"/>
                <w:lang w:eastAsia="en-GB"/>
              </w:rPr>
              <w:t>Academic Year</w:t>
            </w:r>
          </w:p>
        </w:tc>
        <w:tc>
          <w:tcPr>
            <w:tcW w:w="1540" w:type="dxa"/>
          </w:tcPr>
          <w:p w:rsidR="004D6E8B" w:rsidRDefault="00E3624C" w:rsidP="004D6E8B">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2019/20</w:t>
            </w:r>
          </w:p>
        </w:tc>
        <w:tc>
          <w:tcPr>
            <w:tcW w:w="1540" w:type="dxa"/>
          </w:tcPr>
          <w:p w:rsidR="004D6E8B" w:rsidRDefault="004D6E8B" w:rsidP="00657DBE">
            <w:pPr>
              <w:rPr>
                <w:rFonts w:ascii="Verdana" w:eastAsia="Times New Roman" w:hAnsi="Verdana" w:cs="Calibri"/>
                <w:sz w:val="24"/>
                <w:szCs w:val="24"/>
                <w:lang w:eastAsia="en-GB"/>
              </w:rPr>
            </w:pPr>
            <w:r>
              <w:rPr>
                <w:rFonts w:ascii="Verdana" w:eastAsia="Times New Roman" w:hAnsi="Verdana" w:cs="Calibri"/>
                <w:sz w:val="24"/>
                <w:szCs w:val="24"/>
                <w:lang w:eastAsia="en-GB"/>
              </w:rPr>
              <w:t>Total PP Budget</w:t>
            </w:r>
          </w:p>
        </w:tc>
        <w:tc>
          <w:tcPr>
            <w:tcW w:w="1540" w:type="dxa"/>
          </w:tcPr>
          <w:p w:rsidR="004D6E8B" w:rsidRDefault="004D6E8B" w:rsidP="004D6E8B">
            <w:pPr>
              <w:jc w:val="center"/>
              <w:rPr>
                <w:rFonts w:ascii="Verdana" w:eastAsia="Times New Roman" w:hAnsi="Verdana" w:cs="Calibri"/>
                <w:sz w:val="24"/>
                <w:szCs w:val="24"/>
                <w:lang w:eastAsia="en-GB"/>
              </w:rPr>
            </w:pPr>
          </w:p>
          <w:p w:rsidR="00CB275F" w:rsidRDefault="00CB275F" w:rsidP="00E3624C">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w:t>
            </w:r>
            <w:r w:rsidR="002A5DD1">
              <w:rPr>
                <w:rFonts w:ascii="Verdana" w:eastAsia="Times New Roman" w:hAnsi="Verdana" w:cs="Calibri"/>
                <w:sz w:val="24"/>
                <w:szCs w:val="24"/>
                <w:lang w:eastAsia="en-GB"/>
              </w:rPr>
              <w:t>139,580</w:t>
            </w:r>
          </w:p>
        </w:tc>
        <w:tc>
          <w:tcPr>
            <w:tcW w:w="1541" w:type="dxa"/>
          </w:tcPr>
          <w:p w:rsidR="004D6E8B" w:rsidRDefault="004D6E8B" w:rsidP="00657DBE">
            <w:pPr>
              <w:rPr>
                <w:rFonts w:ascii="Verdana" w:eastAsia="Times New Roman" w:hAnsi="Verdana" w:cs="Calibri"/>
                <w:sz w:val="24"/>
                <w:szCs w:val="24"/>
                <w:lang w:eastAsia="en-GB"/>
              </w:rPr>
            </w:pPr>
            <w:r>
              <w:rPr>
                <w:rFonts w:ascii="Verdana" w:eastAsia="Times New Roman" w:hAnsi="Verdana" w:cs="Calibri"/>
                <w:sz w:val="24"/>
                <w:szCs w:val="24"/>
                <w:lang w:eastAsia="en-GB"/>
              </w:rPr>
              <w:t>Date of most recent PP review</w:t>
            </w:r>
          </w:p>
        </w:tc>
        <w:tc>
          <w:tcPr>
            <w:tcW w:w="1541" w:type="dxa"/>
          </w:tcPr>
          <w:p w:rsidR="004D6E8B" w:rsidRDefault="004D6E8B" w:rsidP="004D6E8B">
            <w:pPr>
              <w:jc w:val="center"/>
              <w:rPr>
                <w:rFonts w:ascii="Verdana" w:eastAsia="Times New Roman" w:hAnsi="Verdana" w:cs="Calibri"/>
                <w:sz w:val="24"/>
                <w:szCs w:val="24"/>
                <w:lang w:eastAsia="en-GB"/>
              </w:rPr>
            </w:pPr>
          </w:p>
          <w:p w:rsidR="004D6E8B" w:rsidRDefault="00E3624C" w:rsidP="004D6E8B">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October 2019</w:t>
            </w:r>
          </w:p>
        </w:tc>
      </w:tr>
      <w:tr w:rsidR="004D6E8B" w:rsidTr="004D6E8B">
        <w:tc>
          <w:tcPr>
            <w:tcW w:w="1540" w:type="dxa"/>
          </w:tcPr>
          <w:p w:rsidR="004D6E8B" w:rsidRDefault="004D6E8B" w:rsidP="00657DBE">
            <w:pPr>
              <w:rPr>
                <w:rFonts w:ascii="Verdana" w:eastAsia="Times New Roman" w:hAnsi="Verdana" w:cs="Calibri"/>
                <w:sz w:val="24"/>
                <w:szCs w:val="24"/>
                <w:lang w:eastAsia="en-GB"/>
              </w:rPr>
            </w:pPr>
            <w:r>
              <w:rPr>
                <w:rFonts w:ascii="Verdana" w:eastAsia="Times New Roman" w:hAnsi="Verdana" w:cs="Calibri"/>
                <w:sz w:val="24"/>
                <w:szCs w:val="24"/>
                <w:lang w:eastAsia="en-GB"/>
              </w:rPr>
              <w:t>Total number of pupils</w:t>
            </w:r>
            <w:r w:rsidR="00E3624C">
              <w:rPr>
                <w:rFonts w:ascii="Verdana" w:eastAsia="Times New Roman" w:hAnsi="Verdana" w:cs="Calibri"/>
                <w:sz w:val="24"/>
                <w:szCs w:val="24"/>
                <w:lang w:eastAsia="en-GB"/>
              </w:rPr>
              <w:t xml:space="preserve"> (Jan 2019</w:t>
            </w:r>
            <w:r w:rsidR="00943732">
              <w:rPr>
                <w:rFonts w:ascii="Verdana" w:eastAsia="Times New Roman" w:hAnsi="Verdana" w:cs="Calibri"/>
                <w:sz w:val="24"/>
                <w:szCs w:val="24"/>
                <w:lang w:eastAsia="en-GB"/>
              </w:rPr>
              <w:t>)</w:t>
            </w:r>
          </w:p>
        </w:tc>
        <w:tc>
          <w:tcPr>
            <w:tcW w:w="1540" w:type="dxa"/>
          </w:tcPr>
          <w:p w:rsidR="00CB275F" w:rsidRDefault="00CB275F" w:rsidP="004D6E8B">
            <w:pPr>
              <w:jc w:val="center"/>
              <w:rPr>
                <w:rFonts w:ascii="Verdana" w:eastAsia="Times New Roman" w:hAnsi="Verdana" w:cs="Calibri"/>
                <w:sz w:val="24"/>
                <w:szCs w:val="24"/>
                <w:lang w:eastAsia="en-GB"/>
              </w:rPr>
            </w:pPr>
          </w:p>
          <w:p w:rsidR="004D6E8B" w:rsidRDefault="002A5DD1" w:rsidP="004D6E8B">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255</w:t>
            </w:r>
          </w:p>
        </w:tc>
        <w:tc>
          <w:tcPr>
            <w:tcW w:w="1540" w:type="dxa"/>
          </w:tcPr>
          <w:p w:rsidR="004D6E8B" w:rsidRDefault="004D6E8B" w:rsidP="00657DBE">
            <w:pPr>
              <w:rPr>
                <w:rFonts w:ascii="Verdana" w:eastAsia="Times New Roman" w:hAnsi="Verdana" w:cs="Calibri"/>
                <w:sz w:val="24"/>
                <w:szCs w:val="24"/>
                <w:lang w:eastAsia="en-GB"/>
              </w:rPr>
            </w:pPr>
            <w:r>
              <w:rPr>
                <w:rFonts w:ascii="Verdana" w:eastAsia="Times New Roman" w:hAnsi="Verdana" w:cs="Calibri"/>
                <w:sz w:val="24"/>
                <w:szCs w:val="24"/>
                <w:lang w:eastAsia="en-GB"/>
              </w:rPr>
              <w:t>Number of pupils eligible for PP</w:t>
            </w:r>
          </w:p>
        </w:tc>
        <w:tc>
          <w:tcPr>
            <w:tcW w:w="1540" w:type="dxa"/>
          </w:tcPr>
          <w:p w:rsidR="004D6E8B" w:rsidRDefault="004D6E8B" w:rsidP="004D6E8B">
            <w:pPr>
              <w:jc w:val="center"/>
              <w:rPr>
                <w:rFonts w:ascii="Verdana" w:eastAsia="Times New Roman" w:hAnsi="Verdana" w:cs="Calibri"/>
                <w:sz w:val="24"/>
                <w:szCs w:val="24"/>
                <w:lang w:eastAsia="en-GB"/>
              </w:rPr>
            </w:pPr>
          </w:p>
          <w:p w:rsidR="00CB275F" w:rsidRDefault="002A5DD1" w:rsidP="004D6E8B">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105</w:t>
            </w:r>
          </w:p>
        </w:tc>
        <w:tc>
          <w:tcPr>
            <w:tcW w:w="1541" w:type="dxa"/>
          </w:tcPr>
          <w:p w:rsidR="004D6E8B" w:rsidRDefault="004D6E8B" w:rsidP="00657DBE">
            <w:pPr>
              <w:rPr>
                <w:rFonts w:ascii="Verdana" w:eastAsia="Times New Roman" w:hAnsi="Verdana" w:cs="Calibri"/>
                <w:sz w:val="24"/>
                <w:szCs w:val="24"/>
                <w:lang w:eastAsia="en-GB"/>
              </w:rPr>
            </w:pPr>
            <w:r>
              <w:rPr>
                <w:rFonts w:ascii="Verdana" w:eastAsia="Times New Roman" w:hAnsi="Verdana" w:cs="Calibri"/>
                <w:sz w:val="24"/>
                <w:szCs w:val="24"/>
                <w:lang w:eastAsia="en-GB"/>
              </w:rPr>
              <w:t>Date of next PP Strategy Review</w:t>
            </w:r>
          </w:p>
        </w:tc>
        <w:tc>
          <w:tcPr>
            <w:tcW w:w="1541" w:type="dxa"/>
          </w:tcPr>
          <w:p w:rsidR="004D6E8B" w:rsidRDefault="004D6E8B" w:rsidP="004D6E8B">
            <w:pPr>
              <w:jc w:val="center"/>
              <w:rPr>
                <w:rFonts w:ascii="Verdana" w:eastAsia="Times New Roman" w:hAnsi="Verdana" w:cs="Calibri"/>
                <w:sz w:val="24"/>
                <w:szCs w:val="24"/>
                <w:lang w:eastAsia="en-GB"/>
              </w:rPr>
            </w:pPr>
          </w:p>
          <w:p w:rsidR="004D6E8B" w:rsidRDefault="00E3624C" w:rsidP="004D6E8B">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October 2020</w:t>
            </w:r>
          </w:p>
        </w:tc>
      </w:tr>
    </w:tbl>
    <w:p w:rsidR="004D6E8B" w:rsidRPr="004D6E8B" w:rsidRDefault="004D6E8B" w:rsidP="00657DBE">
      <w:pPr>
        <w:rPr>
          <w:rFonts w:ascii="Verdana" w:eastAsia="Times New Roman" w:hAnsi="Verdana" w:cs="Calibri"/>
          <w:sz w:val="24"/>
          <w:szCs w:val="24"/>
          <w:lang w:eastAsia="en-GB"/>
        </w:rPr>
      </w:pPr>
    </w:p>
    <w:p w:rsidR="009B6A25" w:rsidRPr="001F2A24" w:rsidRDefault="001F2A24" w:rsidP="00657DBE">
      <w:pPr>
        <w:rPr>
          <w:rFonts w:ascii="Verdana" w:hAnsi="Verdana"/>
          <w:sz w:val="40"/>
          <w:szCs w:val="40"/>
        </w:rPr>
      </w:pPr>
      <w:r w:rsidRPr="001F2A24">
        <w:rPr>
          <w:rFonts w:ascii="Verdana" w:hAnsi="Verdana"/>
          <w:sz w:val="40"/>
          <w:szCs w:val="40"/>
        </w:rPr>
        <w:t>Barriers to Achievement</w:t>
      </w:r>
    </w:p>
    <w:p w:rsidR="001F2A24" w:rsidRDefault="001F2A24" w:rsidP="00657DBE">
      <w:pPr>
        <w:rPr>
          <w:rFonts w:ascii="Verdana" w:hAnsi="Verdana"/>
          <w:sz w:val="24"/>
          <w:szCs w:val="24"/>
        </w:rPr>
      </w:pPr>
      <w:r>
        <w:rPr>
          <w:rFonts w:ascii="Verdana" w:hAnsi="Verdana"/>
          <w:sz w:val="24"/>
          <w:szCs w:val="24"/>
        </w:rPr>
        <w:t>We have identified the following as presenting the most significant barriers to achievement for our pupils:</w:t>
      </w:r>
    </w:p>
    <w:p w:rsidR="001F2A24" w:rsidRDefault="001F2A24" w:rsidP="001F2A24">
      <w:pPr>
        <w:pStyle w:val="ListParagraph"/>
        <w:numPr>
          <w:ilvl w:val="0"/>
          <w:numId w:val="2"/>
        </w:numPr>
        <w:rPr>
          <w:rFonts w:ascii="Verdana" w:hAnsi="Verdana"/>
          <w:sz w:val="24"/>
          <w:szCs w:val="24"/>
        </w:rPr>
      </w:pPr>
      <w:r>
        <w:rPr>
          <w:rFonts w:ascii="Verdana" w:hAnsi="Verdana"/>
          <w:sz w:val="24"/>
          <w:szCs w:val="24"/>
        </w:rPr>
        <w:t>Lack of access to books outside of school</w:t>
      </w:r>
    </w:p>
    <w:p w:rsidR="001F2A24" w:rsidRDefault="001F2A24" w:rsidP="001F2A24">
      <w:pPr>
        <w:pStyle w:val="ListParagraph"/>
        <w:numPr>
          <w:ilvl w:val="0"/>
          <w:numId w:val="2"/>
        </w:numPr>
        <w:rPr>
          <w:rFonts w:ascii="Verdana" w:hAnsi="Verdana"/>
          <w:sz w:val="24"/>
          <w:szCs w:val="24"/>
        </w:rPr>
      </w:pPr>
      <w:r>
        <w:rPr>
          <w:rFonts w:ascii="Verdana" w:hAnsi="Verdana"/>
          <w:sz w:val="24"/>
          <w:szCs w:val="24"/>
        </w:rPr>
        <w:t>Lack of access to extra curricula activities (music tuition,</w:t>
      </w:r>
      <w:r w:rsidR="005B7173">
        <w:rPr>
          <w:rFonts w:ascii="Verdana" w:hAnsi="Verdana"/>
          <w:sz w:val="24"/>
          <w:szCs w:val="24"/>
        </w:rPr>
        <w:t xml:space="preserve"> sporting activities</w:t>
      </w:r>
      <w:r>
        <w:rPr>
          <w:rFonts w:ascii="Verdana" w:hAnsi="Verdana"/>
          <w:sz w:val="24"/>
          <w:szCs w:val="24"/>
        </w:rPr>
        <w:t>)</w:t>
      </w:r>
    </w:p>
    <w:p w:rsidR="005B7173" w:rsidRDefault="005B7173" w:rsidP="005B7173">
      <w:pPr>
        <w:pStyle w:val="ListParagraph"/>
        <w:numPr>
          <w:ilvl w:val="0"/>
          <w:numId w:val="2"/>
        </w:numPr>
        <w:rPr>
          <w:rFonts w:ascii="Verdana" w:hAnsi="Verdana"/>
          <w:sz w:val="24"/>
          <w:szCs w:val="24"/>
        </w:rPr>
      </w:pPr>
      <w:r>
        <w:rPr>
          <w:rFonts w:ascii="Verdana" w:hAnsi="Verdana"/>
          <w:sz w:val="24"/>
          <w:szCs w:val="24"/>
        </w:rPr>
        <w:t>Limited life experiences</w:t>
      </w:r>
      <w:r w:rsidRPr="005B7173">
        <w:rPr>
          <w:rFonts w:ascii="Verdana" w:hAnsi="Verdana"/>
          <w:sz w:val="24"/>
          <w:szCs w:val="24"/>
        </w:rPr>
        <w:t xml:space="preserve"> </w:t>
      </w:r>
      <w:r>
        <w:rPr>
          <w:rFonts w:ascii="Verdana" w:hAnsi="Verdana"/>
          <w:sz w:val="24"/>
          <w:szCs w:val="24"/>
        </w:rPr>
        <w:t>(exposure to the environment and activities outside of the immediate locality)</w:t>
      </w:r>
    </w:p>
    <w:p w:rsidR="005B7173" w:rsidRDefault="005B7173" w:rsidP="001F2A24">
      <w:pPr>
        <w:pStyle w:val="ListParagraph"/>
        <w:numPr>
          <w:ilvl w:val="0"/>
          <w:numId w:val="2"/>
        </w:numPr>
        <w:rPr>
          <w:rFonts w:ascii="Verdana" w:hAnsi="Verdana"/>
          <w:sz w:val="24"/>
          <w:szCs w:val="24"/>
        </w:rPr>
      </w:pPr>
      <w:r>
        <w:rPr>
          <w:rFonts w:ascii="Verdana" w:hAnsi="Verdana"/>
          <w:sz w:val="24"/>
          <w:szCs w:val="24"/>
        </w:rPr>
        <w:t>Language deprivation (vocabulary deficit)</w:t>
      </w:r>
    </w:p>
    <w:p w:rsidR="005B7173" w:rsidRDefault="005B7173" w:rsidP="005B7173">
      <w:pPr>
        <w:pStyle w:val="ListParagraph"/>
        <w:numPr>
          <w:ilvl w:val="0"/>
          <w:numId w:val="2"/>
        </w:numPr>
        <w:rPr>
          <w:rFonts w:ascii="Verdana" w:hAnsi="Verdana"/>
          <w:sz w:val="24"/>
          <w:szCs w:val="24"/>
        </w:rPr>
      </w:pPr>
      <w:r>
        <w:rPr>
          <w:rFonts w:ascii="Verdana" w:hAnsi="Verdana"/>
          <w:sz w:val="24"/>
          <w:szCs w:val="24"/>
        </w:rPr>
        <w:t>Social and emotional needs leading to poor behaviour/poor focus on learning</w:t>
      </w:r>
    </w:p>
    <w:p w:rsidR="005B7173" w:rsidRPr="005B7173" w:rsidRDefault="005B7173" w:rsidP="005B7173">
      <w:pPr>
        <w:pStyle w:val="ListParagraph"/>
        <w:numPr>
          <w:ilvl w:val="0"/>
          <w:numId w:val="2"/>
        </w:numPr>
        <w:rPr>
          <w:rFonts w:ascii="Verdana" w:hAnsi="Verdana"/>
          <w:sz w:val="24"/>
          <w:szCs w:val="24"/>
        </w:rPr>
      </w:pPr>
      <w:r>
        <w:rPr>
          <w:rFonts w:ascii="Verdana" w:hAnsi="Verdana"/>
          <w:sz w:val="24"/>
          <w:szCs w:val="24"/>
        </w:rPr>
        <w:t>Poor access to learning resources such as ICT</w:t>
      </w:r>
    </w:p>
    <w:p w:rsidR="001F2A24" w:rsidRDefault="001F2A24" w:rsidP="001F2A24">
      <w:pPr>
        <w:pStyle w:val="ListParagraph"/>
        <w:numPr>
          <w:ilvl w:val="0"/>
          <w:numId w:val="2"/>
        </w:numPr>
        <w:rPr>
          <w:rFonts w:ascii="Verdana" w:hAnsi="Verdana"/>
          <w:sz w:val="24"/>
          <w:szCs w:val="24"/>
        </w:rPr>
      </w:pPr>
      <w:r>
        <w:rPr>
          <w:rFonts w:ascii="Verdana" w:hAnsi="Verdana"/>
          <w:sz w:val="24"/>
          <w:szCs w:val="24"/>
        </w:rPr>
        <w:t>Irregular attendance and poor punctuality</w:t>
      </w:r>
    </w:p>
    <w:p w:rsidR="00943732" w:rsidRPr="005B7173" w:rsidRDefault="00842E12" w:rsidP="005B7173">
      <w:pPr>
        <w:pStyle w:val="ListParagraph"/>
        <w:numPr>
          <w:ilvl w:val="0"/>
          <w:numId w:val="2"/>
        </w:numPr>
        <w:rPr>
          <w:rFonts w:ascii="Verdana" w:hAnsi="Verdana"/>
          <w:sz w:val="24"/>
          <w:szCs w:val="24"/>
        </w:rPr>
      </w:pPr>
      <w:r>
        <w:rPr>
          <w:rFonts w:ascii="Verdana" w:hAnsi="Verdana"/>
          <w:sz w:val="24"/>
          <w:szCs w:val="24"/>
        </w:rPr>
        <w:t>Specific learning need</w:t>
      </w:r>
      <w:r w:rsidR="005B7173">
        <w:rPr>
          <w:rFonts w:ascii="Verdana" w:hAnsi="Verdana"/>
          <w:sz w:val="24"/>
          <w:szCs w:val="24"/>
        </w:rPr>
        <w:t>s</w:t>
      </w:r>
    </w:p>
    <w:p w:rsidR="00CB275F" w:rsidRDefault="00CB275F">
      <w:pPr>
        <w:rPr>
          <w:rFonts w:ascii="Verdana" w:hAnsi="Verdana"/>
          <w:sz w:val="24"/>
          <w:szCs w:val="24"/>
        </w:rPr>
      </w:pPr>
      <w:r>
        <w:rPr>
          <w:rFonts w:ascii="Verdana" w:hAnsi="Verdana"/>
          <w:sz w:val="24"/>
          <w:szCs w:val="24"/>
        </w:rPr>
        <w:br w:type="page"/>
      </w:r>
    </w:p>
    <w:p w:rsidR="003C5E20" w:rsidRDefault="003C5E20" w:rsidP="003C5E20">
      <w:pPr>
        <w:rPr>
          <w:rFonts w:ascii="Verdana" w:hAnsi="Verdana"/>
          <w:sz w:val="24"/>
          <w:szCs w:val="24"/>
        </w:rPr>
      </w:pPr>
    </w:p>
    <w:tbl>
      <w:tblPr>
        <w:tblStyle w:val="TableGrid"/>
        <w:tblW w:w="0" w:type="auto"/>
        <w:tblLook w:val="04A0" w:firstRow="1" w:lastRow="0" w:firstColumn="1" w:lastColumn="0" w:noHBand="0" w:noVBand="1"/>
      </w:tblPr>
      <w:tblGrid>
        <w:gridCol w:w="3748"/>
        <w:gridCol w:w="3443"/>
        <w:gridCol w:w="1825"/>
      </w:tblGrid>
      <w:tr w:rsidR="003C5E20" w:rsidTr="003C5E20">
        <w:tc>
          <w:tcPr>
            <w:tcW w:w="3888" w:type="dxa"/>
          </w:tcPr>
          <w:p w:rsidR="003C5E20" w:rsidRPr="003C5E20" w:rsidRDefault="003C5E20" w:rsidP="003C5E20">
            <w:pPr>
              <w:jc w:val="center"/>
              <w:rPr>
                <w:rFonts w:ascii="Verdana" w:hAnsi="Verdana"/>
                <w:b/>
                <w:sz w:val="24"/>
                <w:szCs w:val="24"/>
              </w:rPr>
            </w:pPr>
            <w:r w:rsidRPr="003C5E20">
              <w:rPr>
                <w:rFonts w:ascii="Verdana" w:hAnsi="Verdana"/>
                <w:b/>
                <w:sz w:val="24"/>
                <w:szCs w:val="24"/>
              </w:rPr>
              <w:t>Area of Spend</w:t>
            </w:r>
          </w:p>
        </w:tc>
        <w:tc>
          <w:tcPr>
            <w:tcW w:w="3510" w:type="dxa"/>
          </w:tcPr>
          <w:p w:rsidR="003C5E20" w:rsidRPr="003C5E20" w:rsidRDefault="003C5E20" w:rsidP="003C5E20">
            <w:pPr>
              <w:jc w:val="center"/>
              <w:rPr>
                <w:rFonts w:ascii="Verdana" w:hAnsi="Verdana"/>
                <w:b/>
                <w:sz w:val="24"/>
                <w:szCs w:val="24"/>
              </w:rPr>
            </w:pPr>
            <w:r w:rsidRPr="003C5E20">
              <w:rPr>
                <w:rFonts w:ascii="Verdana" w:hAnsi="Verdana"/>
                <w:b/>
                <w:sz w:val="24"/>
                <w:szCs w:val="24"/>
              </w:rPr>
              <w:t>Focus</w:t>
            </w:r>
          </w:p>
        </w:tc>
        <w:tc>
          <w:tcPr>
            <w:tcW w:w="1844" w:type="dxa"/>
          </w:tcPr>
          <w:p w:rsidR="003C5E20" w:rsidRPr="003C5E20" w:rsidRDefault="003C5E20" w:rsidP="003C5E20">
            <w:pPr>
              <w:jc w:val="center"/>
              <w:rPr>
                <w:rFonts w:ascii="Verdana" w:hAnsi="Verdana"/>
                <w:b/>
                <w:sz w:val="24"/>
                <w:szCs w:val="24"/>
              </w:rPr>
            </w:pPr>
            <w:r w:rsidRPr="003C5E20">
              <w:rPr>
                <w:rFonts w:ascii="Verdana" w:hAnsi="Verdana"/>
                <w:b/>
                <w:sz w:val="24"/>
                <w:szCs w:val="24"/>
              </w:rPr>
              <w:t>Allocation</w:t>
            </w:r>
          </w:p>
        </w:tc>
      </w:tr>
      <w:tr w:rsidR="003C5E20" w:rsidTr="003C5E20">
        <w:tc>
          <w:tcPr>
            <w:tcW w:w="3888" w:type="dxa"/>
          </w:tcPr>
          <w:p w:rsidR="003C5E20" w:rsidRDefault="003C5E20" w:rsidP="003C5E20">
            <w:pPr>
              <w:rPr>
                <w:rFonts w:ascii="Verdana" w:hAnsi="Verdana"/>
                <w:sz w:val="24"/>
                <w:szCs w:val="24"/>
              </w:rPr>
            </w:pPr>
            <w:r>
              <w:rPr>
                <w:rFonts w:ascii="Verdana" w:hAnsi="Verdana"/>
                <w:sz w:val="24"/>
                <w:szCs w:val="24"/>
              </w:rPr>
              <w:t>Accelerated Reader</w:t>
            </w:r>
          </w:p>
          <w:p w:rsidR="003C5E20" w:rsidRDefault="003C5E20" w:rsidP="003C5E20">
            <w:pPr>
              <w:rPr>
                <w:rFonts w:ascii="Verdana" w:hAnsi="Verdana"/>
                <w:sz w:val="24"/>
                <w:szCs w:val="24"/>
              </w:rPr>
            </w:pPr>
            <w:r>
              <w:rPr>
                <w:rFonts w:ascii="Verdana" w:hAnsi="Verdana"/>
                <w:sz w:val="24"/>
                <w:szCs w:val="24"/>
              </w:rPr>
              <w:t>Library Development</w:t>
            </w:r>
            <w:r w:rsidR="0011545F">
              <w:rPr>
                <w:rFonts w:ascii="Verdana" w:hAnsi="Verdana"/>
                <w:sz w:val="24"/>
                <w:szCs w:val="24"/>
              </w:rPr>
              <w:t xml:space="preserve"> (including TA to ensure access and organisation)</w:t>
            </w:r>
          </w:p>
          <w:p w:rsidR="003C5E20" w:rsidRDefault="003C5E20" w:rsidP="003C5E20">
            <w:pPr>
              <w:rPr>
                <w:rFonts w:ascii="Verdana" w:hAnsi="Verdana"/>
                <w:sz w:val="24"/>
                <w:szCs w:val="24"/>
              </w:rPr>
            </w:pPr>
            <w:r>
              <w:rPr>
                <w:rFonts w:ascii="Verdana" w:hAnsi="Verdana"/>
                <w:sz w:val="24"/>
                <w:szCs w:val="24"/>
              </w:rPr>
              <w:t>Book Week</w:t>
            </w:r>
          </w:p>
          <w:p w:rsidR="003C5E20" w:rsidRDefault="003C5E20" w:rsidP="003C5E20">
            <w:pPr>
              <w:rPr>
                <w:rFonts w:ascii="Verdana" w:hAnsi="Verdana"/>
                <w:sz w:val="24"/>
                <w:szCs w:val="24"/>
              </w:rPr>
            </w:pPr>
            <w:r>
              <w:rPr>
                <w:rFonts w:ascii="Verdana" w:hAnsi="Verdana"/>
                <w:sz w:val="24"/>
                <w:szCs w:val="24"/>
              </w:rPr>
              <w:t>Class Texts</w:t>
            </w:r>
          </w:p>
        </w:tc>
        <w:tc>
          <w:tcPr>
            <w:tcW w:w="3510" w:type="dxa"/>
          </w:tcPr>
          <w:p w:rsidR="003C5E20" w:rsidRDefault="003C5E20" w:rsidP="003C5E20">
            <w:pPr>
              <w:rPr>
                <w:rFonts w:ascii="Verdana" w:hAnsi="Verdana"/>
                <w:sz w:val="24"/>
                <w:szCs w:val="24"/>
              </w:rPr>
            </w:pPr>
            <w:r>
              <w:rPr>
                <w:rFonts w:ascii="Verdana" w:hAnsi="Verdana"/>
                <w:sz w:val="24"/>
                <w:szCs w:val="24"/>
              </w:rPr>
              <w:t>Increasi</w:t>
            </w:r>
            <w:r w:rsidR="0011545F">
              <w:rPr>
                <w:rFonts w:ascii="Verdana" w:hAnsi="Verdana"/>
                <w:sz w:val="24"/>
                <w:szCs w:val="24"/>
              </w:rPr>
              <w:t>ng access to high quality books, developing a love of reading.</w:t>
            </w:r>
          </w:p>
        </w:tc>
        <w:tc>
          <w:tcPr>
            <w:tcW w:w="1844" w:type="dxa"/>
          </w:tcPr>
          <w:p w:rsidR="003C5E20" w:rsidRDefault="002A5DD1" w:rsidP="003C5E20">
            <w:pPr>
              <w:rPr>
                <w:rFonts w:ascii="Verdana" w:hAnsi="Verdana"/>
                <w:sz w:val="24"/>
                <w:szCs w:val="24"/>
              </w:rPr>
            </w:pPr>
            <w:r>
              <w:rPr>
                <w:rFonts w:ascii="Verdana" w:hAnsi="Verdana"/>
                <w:sz w:val="24"/>
                <w:szCs w:val="24"/>
              </w:rPr>
              <w:t>£4,000</w:t>
            </w:r>
          </w:p>
        </w:tc>
      </w:tr>
      <w:tr w:rsidR="003C5E20" w:rsidTr="003C5E20">
        <w:tc>
          <w:tcPr>
            <w:tcW w:w="3888" w:type="dxa"/>
          </w:tcPr>
          <w:p w:rsidR="003C5E20" w:rsidRDefault="003C5E20" w:rsidP="003C5E20">
            <w:pPr>
              <w:rPr>
                <w:rFonts w:ascii="Verdana" w:hAnsi="Verdana"/>
                <w:sz w:val="24"/>
                <w:szCs w:val="24"/>
              </w:rPr>
            </w:pPr>
            <w:r>
              <w:rPr>
                <w:rFonts w:ascii="Verdana" w:hAnsi="Verdana"/>
                <w:sz w:val="24"/>
                <w:szCs w:val="24"/>
              </w:rPr>
              <w:t>Subsidised group and individual music tuition.</w:t>
            </w:r>
          </w:p>
          <w:p w:rsidR="003C5E20" w:rsidRDefault="003C5E20" w:rsidP="003C5E20">
            <w:pPr>
              <w:rPr>
                <w:rFonts w:ascii="Verdana" w:hAnsi="Verdana"/>
                <w:sz w:val="24"/>
                <w:szCs w:val="24"/>
              </w:rPr>
            </w:pPr>
            <w:r>
              <w:rPr>
                <w:rFonts w:ascii="Verdana" w:hAnsi="Verdana"/>
                <w:sz w:val="24"/>
                <w:szCs w:val="24"/>
              </w:rPr>
              <w:t>Attendance at Young Voices and Hounslow Music Festival.</w:t>
            </w:r>
          </w:p>
          <w:p w:rsidR="003C5E20" w:rsidRDefault="003C5E20" w:rsidP="003C5E20">
            <w:pPr>
              <w:rPr>
                <w:rFonts w:ascii="Verdana" w:hAnsi="Verdana"/>
                <w:sz w:val="24"/>
                <w:szCs w:val="24"/>
              </w:rPr>
            </w:pPr>
            <w:r>
              <w:rPr>
                <w:rFonts w:ascii="Verdana" w:hAnsi="Verdana"/>
                <w:sz w:val="24"/>
                <w:szCs w:val="24"/>
              </w:rPr>
              <w:t>Subsidised after school sports clubs.</w:t>
            </w:r>
          </w:p>
        </w:tc>
        <w:tc>
          <w:tcPr>
            <w:tcW w:w="3510" w:type="dxa"/>
          </w:tcPr>
          <w:p w:rsidR="003C5E20" w:rsidRDefault="003C5E20" w:rsidP="003C5E20">
            <w:pPr>
              <w:rPr>
                <w:rFonts w:ascii="Verdana" w:hAnsi="Verdana"/>
                <w:sz w:val="24"/>
                <w:szCs w:val="24"/>
              </w:rPr>
            </w:pPr>
            <w:r>
              <w:rPr>
                <w:rFonts w:ascii="Verdana" w:hAnsi="Verdana"/>
                <w:sz w:val="24"/>
                <w:szCs w:val="24"/>
              </w:rPr>
              <w:t>Increasing acces</w:t>
            </w:r>
            <w:r w:rsidR="00167EAD">
              <w:rPr>
                <w:rFonts w:ascii="Verdana" w:hAnsi="Verdana"/>
                <w:sz w:val="24"/>
                <w:szCs w:val="24"/>
              </w:rPr>
              <w:t xml:space="preserve">s to extra curricula activities </w:t>
            </w:r>
          </w:p>
        </w:tc>
        <w:tc>
          <w:tcPr>
            <w:tcW w:w="1844" w:type="dxa"/>
          </w:tcPr>
          <w:p w:rsidR="003C5E20" w:rsidRPr="00D02F9C" w:rsidRDefault="002A5DD1" w:rsidP="003C5E20">
            <w:pPr>
              <w:rPr>
                <w:rFonts w:ascii="Verdana" w:hAnsi="Verdana"/>
                <w:sz w:val="24"/>
                <w:szCs w:val="24"/>
              </w:rPr>
            </w:pPr>
            <w:r>
              <w:rPr>
                <w:rFonts w:ascii="Verdana" w:hAnsi="Verdana"/>
                <w:sz w:val="24"/>
                <w:szCs w:val="24"/>
              </w:rPr>
              <w:t>£10,000</w:t>
            </w:r>
          </w:p>
        </w:tc>
      </w:tr>
      <w:tr w:rsidR="00167EAD" w:rsidTr="003C5E20">
        <w:tc>
          <w:tcPr>
            <w:tcW w:w="3888" w:type="dxa"/>
          </w:tcPr>
          <w:p w:rsidR="00167EAD" w:rsidRDefault="00167EAD" w:rsidP="003C5E20">
            <w:pPr>
              <w:rPr>
                <w:rFonts w:ascii="Verdana" w:hAnsi="Verdana"/>
                <w:sz w:val="24"/>
                <w:szCs w:val="24"/>
              </w:rPr>
            </w:pPr>
            <w:r>
              <w:rPr>
                <w:rFonts w:ascii="Verdana" w:hAnsi="Verdana"/>
                <w:sz w:val="24"/>
                <w:szCs w:val="24"/>
              </w:rPr>
              <w:t>Subsidised visits out of school and residential trips.</w:t>
            </w:r>
          </w:p>
        </w:tc>
        <w:tc>
          <w:tcPr>
            <w:tcW w:w="3510" w:type="dxa"/>
          </w:tcPr>
          <w:p w:rsidR="00167EAD" w:rsidRDefault="00167EAD" w:rsidP="003C5E20">
            <w:pPr>
              <w:rPr>
                <w:rFonts w:ascii="Verdana" w:hAnsi="Verdana"/>
                <w:sz w:val="24"/>
                <w:szCs w:val="24"/>
              </w:rPr>
            </w:pPr>
            <w:r>
              <w:rPr>
                <w:rFonts w:ascii="Verdana" w:hAnsi="Verdana"/>
                <w:sz w:val="24"/>
                <w:szCs w:val="24"/>
              </w:rPr>
              <w:t>Increased exposure of wider environment</w:t>
            </w:r>
          </w:p>
        </w:tc>
        <w:tc>
          <w:tcPr>
            <w:tcW w:w="1844" w:type="dxa"/>
          </w:tcPr>
          <w:p w:rsidR="00167EAD" w:rsidRPr="00D02F9C" w:rsidRDefault="002A5DD1" w:rsidP="003C5E20">
            <w:pPr>
              <w:rPr>
                <w:rFonts w:ascii="Verdana" w:hAnsi="Verdana"/>
                <w:sz w:val="24"/>
                <w:szCs w:val="24"/>
              </w:rPr>
            </w:pPr>
            <w:r>
              <w:rPr>
                <w:rFonts w:ascii="Verdana" w:hAnsi="Verdana"/>
                <w:sz w:val="24"/>
                <w:szCs w:val="24"/>
              </w:rPr>
              <w:t>£6,000</w:t>
            </w:r>
          </w:p>
        </w:tc>
      </w:tr>
      <w:tr w:rsidR="003C5E20" w:rsidTr="003C5E20">
        <w:tc>
          <w:tcPr>
            <w:tcW w:w="3888" w:type="dxa"/>
          </w:tcPr>
          <w:p w:rsidR="001C4820" w:rsidRDefault="00C937EB" w:rsidP="003C5E20">
            <w:pPr>
              <w:rPr>
                <w:rFonts w:ascii="Verdana" w:hAnsi="Verdana"/>
                <w:sz w:val="24"/>
                <w:szCs w:val="24"/>
              </w:rPr>
            </w:pPr>
            <w:r>
              <w:rPr>
                <w:rFonts w:ascii="Verdana" w:hAnsi="Verdana"/>
                <w:sz w:val="24"/>
                <w:szCs w:val="24"/>
              </w:rPr>
              <w:t>Employment of</w:t>
            </w:r>
            <w:r w:rsidR="003C5E20">
              <w:rPr>
                <w:rFonts w:ascii="Verdana" w:hAnsi="Verdana"/>
                <w:sz w:val="24"/>
                <w:szCs w:val="24"/>
              </w:rPr>
              <w:t xml:space="preserve"> EWO 1.5 days each week.</w:t>
            </w:r>
          </w:p>
          <w:p w:rsidR="003C5E20" w:rsidRDefault="003C5E20" w:rsidP="003C5E20">
            <w:pPr>
              <w:rPr>
                <w:rFonts w:ascii="Verdana" w:hAnsi="Verdana"/>
                <w:sz w:val="24"/>
                <w:szCs w:val="24"/>
              </w:rPr>
            </w:pPr>
            <w:r>
              <w:rPr>
                <w:rFonts w:ascii="Verdana" w:hAnsi="Verdana"/>
                <w:sz w:val="24"/>
                <w:szCs w:val="24"/>
              </w:rPr>
              <w:t>Subsidised breakfast and after school care.</w:t>
            </w:r>
          </w:p>
        </w:tc>
        <w:tc>
          <w:tcPr>
            <w:tcW w:w="3510" w:type="dxa"/>
          </w:tcPr>
          <w:p w:rsidR="003C5E20" w:rsidRDefault="003C5E20" w:rsidP="003C5E20">
            <w:pPr>
              <w:rPr>
                <w:rFonts w:ascii="Verdana" w:hAnsi="Verdana"/>
                <w:sz w:val="24"/>
                <w:szCs w:val="24"/>
              </w:rPr>
            </w:pPr>
            <w:r>
              <w:rPr>
                <w:rFonts w:ascii="Verdana" w:hAnsi="Verdana"/>
                <w:sz w:val="24"/>
                <w:szCs w:val="24"/>
              </w:rPr>
              <w:t>Attendance and Punctuality</w:t>
            </w:r>
          </w:p>
        </w:tc>
        <w:tc>
          <w:tcPr>
            <w:tcW w:w="1844" w:type="dxa"/>
          </w:tcPr>
          <w:p w:rsidR="003C5E20" w:rsidRPr="00D02F9C" w:rsidRDefault="002A5DD1" w:rsidP="003C5E20">
            <w:pPr>
              <w:rPr>
                <w:rFonts w:ascii="Verdana" w:hAnsi="Verdana"/>
                <w:sz w:val="24"/>
                <w:szCs w:val="24"/>
              </w:rPr>
            </w:pPr>
            <w:r>
              <w:rPr>
                <w:rFonts w:ascii="Verdana" w:hAnsi="Verdana"/>
                <w:sz w:val="24"/>
                <w:szCs w:val="24"/>
              </w:rPr>
              <w:t>£14,500</w:t>
            </w:r>
          </w:p>
        </w:tc>
      </w:tr>
      <w:tr w:rsidR="003C5E20" w:rsidTr="003C5E20">
        <w:tc>
          <w:tcPr>
            <w:tcW w:w="3888" w:type="dxa"/>
          </w:tcPr>
          <w:p w:rsidR="003C5E20" w:rsidRDefault="003C5E20" w:rsidP="003C5E20">
            <w:pPr>
              <w:rPr>
                <w:rFonts w:ascii="Verdana" w:hAnsi="Verdana"/>
                <w:sz w:val="24"/>
                <w:szCs w:val="24"/>
              </w:rPr>
            </w:pPr>
            <w:r>
              <w:rPr>
                <w:rFonts w:ascii="Verdana" w:hAnsi="Verdana"/>
                <w:sz w:val="24"/>
                <w:szCs w:val="24"/>
              </w:rPr>
              <w:t>Play Therapy (8 pupils</w:t>
            </w:r>
            <w:r w:rsidR="0025369B">
              <w:rPr>
                <w:rFonts w:ascii="Verdana" w:hAnsi="Verdana"/>
                <w:sz w:val="24"/>
                <w:szCs w:val="24"/>
              </w:rPr>
              <w:t xml:space="preserve"> at any one time</w:t>
            </w:r>
            <w:r>
              <w:rPr>
                <w:rFonts w:ascii="Verdana" w:hAnsi="Verdana"/>
                <w:sz w:val="24"/>
                <w:szCs w:val="24"/>
              </w:rPr>
              <w:t>)</w:t>
            </w:r>
          </w:p>
          <w:p w:rsidR="003C5E20" w:rsidRDefault="00232D1E" w:rsidP="003C5E20">
            <w:pPr>
              <w:rPr>
                <w:rFonts w:ascii="Verdana" w:hAnsi="Verdana"/>
                <w:sz w:val="24"/>
                <w:szCs w:val="24"/>
              </w:rPr>
            </w:pPr>
            <w:r>
              <w:rPr>
                <w:rFonts w:ascii="Verdana" w:hAnsi="Verdana"/>
                <w:sz w:val="24"/>
                <w:szCs w:val="24"/>
              </w:rPr>
              <w:t>ELSA (3 trained TAs</w:t>
            </w:r>
            <w:r w:rsidR="003C5E20">
              <w:rPr>
                <w:rFonts w:ascii="Verdana" w:hAnsi="Verdana"/>
                <w:sz w:val="24"/>
                <w:szCs w:val="24"/>
              </w:rPr>
              <w:t>)</w:t>
            </w:r>
          </w:p>
          <w:p w:rsidR="00232D1E" w:rsidRDefault="00232D1E" w:rsidP="003C5E20">
            <w:pPr>
              <w:rPr>
                <w:rFonts w:ascii="Verdana" w:hAnsi="Verdana"/>
                <w:sz w:val="24"/>
                <w:szCs w:val="24"/>
              </w:rPr>
            </w:pPr>
            <w:r>
              <w:rPr>
                <w:rFonts w:ascii="Verdana" w:hAnsi="Verdana"/>
                <w:sz w:val="24"/>
                <w:szCs w:val="24"/>
              </w:rPr>
              <w:t>Nurture Group (3 trained TAs)</w:t>
            </w:r>
          </w:p>
        </w:tc>
        <w:tc>
          <w:tcPr>
            <w:tcW w:w="3510" w:type="dxa"/>
          </w:tcPr>
          <w:p w:rsidR="003C5E20" w:rsidRDefault="003C5E20" w:rsidP="003C5E20">
            <w:pPr>
              <w:rPr>
                <w:rFonts w:ascii="Verdana" w:hAnsi="Verdana"/>
                <w:sz w:val="24"/>
                <w:szCs w:val="24"/>
              </w:rPr>
            </w:pPr>
            <w:r>
              <w:rPr>
                <w:rFonts w:ascii="Verdana" w:hAnsi="Verdana"/>
                <w:sz w:val="24"/>
                <w:szCs w:val="24"/>
              </w:rPr>
              <w:t>Social and Emotional Wellbeing</w:t>
            </w:r>
          </w:p>
        </w:tc>
        <w:tc>
          <w:tcPr>
            <w:tcW w:w="1844" w:type="dxa"/>
          </w:tcPr>
          <w:p w:rsidR="00CB275F" w:rsidRPr="00D02F9C" w:rsidRDefault="002A5DD1" w:rsidP="003C5E20">
            <w:pPr>
              <w:rPr>
                <w:rFonts w:ascii="Verdana" w:hAnsi="Verdana"/>
                <w:sz w:val="24"/>
                <w:szCs w:val="24"/>
              </w:rPr>
            </w:pPr>
            <w:r>
              <w:rPr>
                <w:rFonts w:ascii="Verdana" w:hAnsi="Verdana"/>
                <w:sz w:val="24"/>
                <w:szCs w:val="24"/>
              </w:rPr>
              <w:t>£21,000</w:t>
            </w:r>
          </w:p>
          <w:p w:rsidR="00CB275F" w:rsidRPr="00D02F9C" w:rsidRDefault="00CB275F" w:rsidP="003C5E20">
            <w:pPr>
              <w:rPr>
                <w:rFonts w:ascii="Verdana" w:hAnsi="Verdana"/>
                <w:sz w:val="24"/>
                <w:szCs w:val="24"/>
              </w:rPr>
            </w:pPr>
          </w:p>
        </w:tc>
      </w:tr>
      <w:tr w:rsidR="003C5E20" w:rsidTr="003C5E20">
        <w:tc>
          <w:tcPr>
            <w:tcW w:w="3888" w:type="dxa"/>
          </w:tcPr>
          <w:p w:rsidR="003C5E20" w:rsidRDefault="003C5E20" w:rsidP="003C5E20">
            <w:pPr>
              <w:rPr>
                <w:rFonts w:ascii="Verdana" w:hAnsi="Verdana"/>
                <w:sz w:val="24"/>
                <w:szCs w:val="24"/>
              </w:rPr>
            </w:pPr>
            <w:r>
              <w:rPr>
                <w:rFonts w:ascii="Verdana" w:hAnsi="Verdana"/>
                <w:sz w:val="24"/>
                <w:szCs w:val="24"/>
              </w:rPr>
              <w:t>Speech and Language Therapy</w:t>
            </w:r>
          </w:p>
        </w:tc>
        <w:tc>
          <w:tcPr>
            <w:tcW w:w="3510" w:type="dxa"/>
          </w:tcPr>
          <w:p w:rsidR="003C5E20" w:rsidRDefault="003C5E20" w:rsidP="003C5E20">
            <w:pPr>
              <w:rPr>
                <w:rFonts w:ascii="Verdana" w:hAnsi="Verdana"/>
                <w:sz w:val="24"/>
                <w:szCs w:val="24"/>
              </w:rPr>
            </w:pPr>
            <w:r>
              <w:rPr>
                <w:rFonts w:ascii="Verdana" w:hAnsi="Verdana"/>
                <w:sz w:val="24"/>
                <w:szCs w:val="24"/>
              </w:rPr>
              <w:t>Language Deprivation</w:t>
            </w:r>
          </w:p>
        </w:tc>
        <w:tc>
          <w:tcPr>
            <w:tcW w:w="1844" w:type="dxa"/>
          </w:tcPr>
          <w:p w:rsidR="003C5E20" w:rsidRPr="00D02F9C" w:rsidRDefault="002A5DD1" w:rsidP="003C5E20">
            <w:pPr>
              <w:rPr>
                <w:rFonts w:ascii="Verdana" w:hAnsi="Verdana"/>
                <w:sz w:val="24"/>
                <w:szCs w:val="24"/>
              </w:rPr>
            </w:pPr>
            <w:r>
              <w:rPr>
                <w:rFonts w:ascii="Verdana" w:hAnsi="Verdana"/>
                <w:sz w:val="24"/>
                <w:szCs w:val="24"/>
              </w:rPr>
              <w:t>£8,850</w:t>
            </w:r>
          </w:p>
        </w:tc>
      </w:tr>
      <w:tr w:rsidR="003C5E20" w:rsidTr="003C5E20">
        <w:tc>
          <w:tcPr>
            <w:tcW w:w="3888" w:type="dxa"/>
          </w:tcPr>
          <w:p w:rsidR="003C5E20" w:rsidRDefault="0089535D" w:rsidP="003C5E20">
            <w:pPr>
              <w:rPr>
                <w:rFonts w:ascii="Verdana" w:hAnsi="Verdana"/>
                <w:sz w:val="24"/>
                <w:szCs w:val="24"/>
              </w:rPr>
            </w:pPr>
            <w:r>
              <w:rPr>
                <w:rFonts w:ascii="Verdana" w:hAnsi="Verdana"/>
                <w:sz w:val="24"/>
                <w:szCs w:val="24"/>
              </w:rPr>
              <w:t>Booster Classes</w:t>
            </w:r>
            <w:r w:rsidR="00822FAA">
              <w:rPr>
                <w:rFonts w:ascii="Verdana" w:hAnsi="Verdana"/>
                <w:sz w:val="24"/>
                <w:szCs w:val="24"/>
              </w:rPr>
              <w:t xml:space="preserve"> – Yr 6</w:t>
            </w:r>
          </w:p>
        </w:tc>
        <w:tc>
          <w:tcPr>
            <w:tcW w:w="3510" w:type="dxa"/>
          </w:tcPr>
          <w:p w:rsidR="003C5E20" w:rsidRDefault="00BA6BC7" w:rsidP="003C5E20">
            <w:pPr>
              <w:rPr>
                <w:rFonts w:ascii="Verdana" w:hAnsi="Verdana"/>
                <w:sz w:val="24"/>
                <w:szCs w:val="24"/>
              </w:rPr>
            </w:pPr>
            <w:r>
              <w:rPr>
                <w:rFonts w:ascii="Verdana" w:hAnsi="Verdana"/>
                <w:sz w:val="24"/>
                <w:szCs w:val="24"/>
              </w:rPr>
              <w:t>Closing the Gap</w:t>
            </w:r>
          </w:p>
        </w:tc>
        <w:tc>
          <w:tcPr>
            <w:tcW w:w="1844" w:type="dxa"/>
          </w:tcPr>
          <w:p w:rsidR="003C5E20" w:rsidRPr="00D02F9C" w:rsidRDefault="002A5DD1" w:rsidP="00BA6BC7">
            <w:pPr>
              <w:rPr>
                <w:rFonts w:ascii="Verdana" w:hAnsi="Verdana"/>
                <w:sz w:val="24"/>
                <w:szCs w:val="24"/>
              </w:rPr>
            </w:pPr>
            <w:r>
              <w:rPr>
                <w:rFonts w:ascii="Verdana" w:hAnsi="Verdana"/>
                <w:sz w:val="24"/>
                <w:szCs w:val="24"/>
              </w:rPr>
              <w:t>£3,000</w:t>
            </w:r>
          </w:p>
        </w:tc>
      </w:tr>
      <w:tr w:rsidR="003C5E20" w:rsidTr="003C5E20">
        <w:tc>
          <w:tcPr>
            <w:tcW w:w="3888" w:type="dxa"/>
          </w:tcPr>
          <w:p w:rsidR="003C5E20" w:rsidRDefault="003C5E20" w:rsidP="003C5E20">
            <w:pPr>
              <w:rPr>
                <w:rFonts w:ascii="Verdana" w:hAnsi="Verdana"/>
                <w:sz w:val="24"/>
                <w:szCs w:val="24"/>
              </w:rPr>
            </w:pPr>
            <w:r>
              <w:rPr>
                <w:rFonts w:ascii="Verdana" w:hAnsi="Verdana"/>
                <w:sz w:val="24"/>
                <w:szCs w:val="24"/>
              </w:rPr>
              <w:t>FFT Reading Intervention</w:t>
            </w:r>
          </w:p>
        </w:tc>
        <w:tc>
          <w:tcPr>
            <w:tcW w:w="3510" w:type="dxa"/>
          </w:tcPr>
          <w:p w:rsidR="003C5E20" w:rsidRDefault="003C5E20" w:rsidP="003C5E20">
            <w:pPr>
              <w:rPr>
                <w:rFonts w:ascii="Verdana" w:hAnsi="Verdana"/>
                <w:sz w:val="24"/>
                <w:szCs w:val="24"/>
              </w:rPr>
            </w:pPr>
            <w:r>
              <w:rPr>
                <w:rFonts w:ascii="Verdana" w:hAnsi="Verdana"/>
                <w:sz w:val="24"/>
                <w:szCs w:val="24"/>
              </w:rPr>
              <w:t>Targeted intervention for under achievement.</w:t>
            </w:r>
          </w:p>
        </w:tc>
        <w:tc>
          <w:tcPr>
            <w:tcW w:w="1844" w:type="dxa"/>
          </w:tcPr>
          <w:p w:rsidR="00CB275F" w:rsidRPr="00D02F9C" w:rsidRDefault="002A5DD1" w:rsidP="0011545F">
            <w:pPr>
              <w:rPr>
                <w:rFonts w:ascii="Verdana" w:hAnsi="Verdana"/>
                <w:sz w:val="24"/>
                <w:szCs w:val="24"/>
              </w:rPr>
            </w:pPr>
            <w:r>
              <w:rPr>
                <w:rFonts w:ascii="Verdana" w:hAnsi="Verdana"/>
                <w:sz w:val="24"/>
                <w:szCs w:val="24"/>
              </w:rPr>
              <w:t>£10,000</w:t>
            </w:r>
          </w:p>
        </w:tc>
      </w:tr>
      <w:tr w:rsidR="00BA582F" w:rsidTr="003C5E20">
        <w:tc>
          <w:tcPr>
            <w:tcW w:w="3888" w:type="dxa"/>
          </w:tcPr>
          <w:p w:rsidR="00BA582F" w:rsidRDefault="00BA582F" w:rsidP="003C5E20">
            <w:pPr>
              <w:rPr>
                <w:rFonts w:ascii="Verdana" w:hAnsi="Verdana"/>
                <w:sz w:val="24"/>
                <w:szCs w:val="24"/>
              </w:rPr>
            </w:pPr>
            <w:r>
              <w:rPr>
                <w:rFonts w:ascii="Verdana" w:hAnsi="Verdana"/>
                <w:sz w:val="24"/>
                <w:szCs w:val="24"/>
              </w:rPr>
              <w:t>Contribution to cost of Teachi</w:t>
            </w:r>
            <w:r w:rsidR="005F713F">
              <w:rPr>
                <w:rFonts w:ascii="Verdana" w:hAnsi="Verdana"/>
                <w:sz w:val="24"/>
                <w:szCs w:val="24"/>
              </w:rPr>
              <w:t>ng Assistant support in classes and delivering interventions</w:t>
            </w:r>
          </w:p>
        </w:tc>
        <w:tc>
          <w:tcPr>
            <w:tcW w:w="3510" w:type="dxa"/>
          </w:tcPr>
          <w:p w:rsidR="00BA582F" w:rsidRDefault="00BA582F" w:rsidP="003C5E20">
            <w:pPr>
              <w:rPr>
                <w:rFonts w:ascii="Verdana" w:hAnsi="Verdana"/>
                <w:sz w:val="24"/>
                <w:szCs w:val="24"/>
              </w:rPr>
            </w:pPr>
            <w:r>
              <w:rPr>
                <w:rFonts w:ascii="Verdana" w:hAnsi="Verdana"/>
                <w:sz w:val="24"/>
                <w:szCs w:val="24"/>
              </w:rPr>
              <w:t>High quality teaching and learning.</w:t>
            </w:r>
            <w:r w:rsidR="00232D1E">
              <w:rPr>
                <w:rFonts w:ascii="Verdana" w:hAnsi="Verdana"/>
                <w:sz w:val="24"/>
                <w:szCs w:val="24"/>
              </w:rPr>
              <w:t xml:space="preserve"> Rapid intervention.</w:t>
            </w:r>
          </w:p>
        </w:tc>
        <w:tc>
          <w:tcPr>
            <w:tcW w:w="1844" w:type="dxa"/>
          </w:tcPr>
          <w:p w:rsidR="00BA582F" w:rsidRPr="00D02F9C" w:rsidRDefault="00712DC4" w:rsidP="00D02F9C">
            <w:pPr>
              <w:rPr>
                <w:rFonts w:ascii="Verdana" w:hAnsi="Verdana"/>
                <w:sz w:val="24"/>
                <w:szCs w:val="24"/>
              </w:rPr>
            </w:pPr>
            <w:r>
              <w:rPr>
                <w:rFonts w:ascii="Verdana" w:hAnsi="Verdana"/>
                <w:sz w:val="24"/>
                <w:szCs w:val="24"/>
              </w:rPr>
              <w:t>£50</w:t>
            </w:r>
            <w:r w:rsidR="002A5DD1">
              <w:rPr>
                <w:rFonts w:ascii="Verdana" w:hAnsi="Verdana"/>
                <w:sz w:val="24"/>
                <w:szCs w:val="24"/>
              </w:rPr>
              <w:t>,000</w:t>
            </w:r>
          </w:p>
        </w:tc>
      </w:tr>
      <w:tr w:rsidR="005F152E" w:rsidTr="003C5E20">
        <w:tc>
          <w:tcPr>
            <w:tcW w:w="3888" w:type="dxa"/>
          </w:tcPr>
          <w:p w:rsidR="005F152E" w:rsidRDefault="005F152E" w:rsidP="003C5E20">
            <w:pPr>
              <w:rPr>
                <w:rFonts w:ascii="Verdana" w:hAnsi="Verdana"/>
                <w:sz w:val="24"/>
                <w:szCs w:val="24"/>
              </w:rPr>
            </w:pPr>
            <w:r>
              <w:rPr>
                <w:rFonts w:ascii="Verdana" w:hAnsi="Verdana"/>
                <w:sz w:val="24"/>
                <w:szCs w:val="24"/>
              </w:rPr>
              <w:t>Employment of SEN Consultant</w:t>
            </w:r>
            <w:r w:rsidR="00427429">
              <w:rPr>
                <w:rFonts w:ascii="Verdana" w:hAnsi="Verdana"/>
                <w:sz w:val="24"/>
                <w:szCs w:val="24"/>
              </w:rPr>
              <w:t xml:space="preserve"> </w:t>
            </w:r>
          </w:p>
        </w:tc>
        <w:tc>
          <w:tcPr>
            <w:tcW w:w="3510" w:type="dxa"/>
          </w:tcPr>
          <w:p w:rsidR="005F152E" w:rsidRDefault="00842E12" w:rsidP="003C5E20">
            <w:pPr>
              <w:rPr>
                <w:rFonts w:ascii="Verdana" w:hAnsi="Verdana"/>
                <w:sz w:val="24"/>
                <w:szCs w:val="24"/>
              </w:rPr>
            </w:pPr>
            <w:r>
              <w:rPr>
                <w:rFonts w:ascii="Verdana" w:hAnsi="Verdana"/>
                <w:sz w:val="24"/>
                <w:szCs w:val="24"/>
              </w:rPr>
              <w:t xml:space="preserve">Advice and support in relation to pupils with Specific Learning Needs </w:t>
            </w:r>
          </w:p>
        </w:tc>
        <w:tc>
          <w:tcPr>
            <w:tcW w:w="1844" w:type="dxa"/>
          </w:tcPr>
          <w:p w:rsidR="005F152E" w:rsidRPr="00D02F9C" w:rsidRDefault="002A5DD1" w:rsidP="003C5E20">
            <w:pPr>
              <w:rPr>
                <w:rFonts w:ascii="Verdana" w:hAnsi="Verdana"/>
                <w:sz w:val="24"/>
                <w:szCs w:val="24"/>
              </w:rPr>
            </w:pPr>
            <w:r>
              <w:rPr>
                <w:rFonts w:ascii="Verdana" w:hAnsi="Verdana"/>
                <w:sz w:val="24"/>
                <w:szCs w:val="24"/>
              </w:rPr>
              <w:t>£10,000</w:t>
            </w:r>
          </w:p>
        </w:tc>
      </w:tr>
      <w:tr w:rsidR="00693522" w:rsidTr="003C5E20">
        <w:tc>
          <w:tcPr>
            <w:tcW w:w="3888" w:type="dxa"/>
          </w:tcPr>
          <w:p w:rsidR="00693522" w:rsidRDefault="00693522" w:rsidP="003C5E20">
            <w:pPr>
              <w:rPr>
                <w:rFonts w:ascii="Verdana" w:hAnsi="Verdana"/>
                <w:sz w:val="24"/>
                <w:szCs w:val="24"/>
              </w:rPr>
            </w:pPr>
            <w:r>
              <w:rPr>
                <w:rFonts w:ascii="Verdana" w:hAnsi="Verdana"/>
                <w:sz w:val="24"/>
                <w:szCs w:val="24"/>
              </w:rPr>
              <w:t xml:space="preserve">Membership fee for </w:t>
            </w:r>
            <w:proofErr w:type="spellStart"/>
            <w:r>
              <w:rPr>
                <w:rFonts w:ascii="Verdana" w:hAnsi="Verdana"/>
                <w:sz w:val="24"/>
                <w:szCs w:val="24"/>
              </w:rPr>
              <w:t>PiXL</w:t>
            </w:r>
            <w:proofErr w:type="spellEnd"/>
          </w:p>
        </w:tc>
        <w:tc>
          <w:tcPr>
            <w:tcW w:w="3510" w:type="dxa"/>
          </w:tcPr>
          <w:p w:rsidR="00693522" w:rsidRDefault="00693522" w:rsidP="00693522">
            <w:pPr>
              <w:rPr>
                <w:rFonts w:ascii="Verdana" w:hAnsi="Verdana"/>
                <w:sz w:val="24"/>
                <w:szCs w:val="24"/>
              </w:rPr>
            </w:pPr>
            <w:r>
              <w:rPr>
                <w:rFonts w:ascii="Verdana" w:hAnsi="Verdana"/>
                <w:sz w:val="24"/>
                <w:szCs w:val="24"/>
              </w:rPr>
              <w:t xml:space="preserve">Accurate monitoring of attainment and progress of target groups/individuals. Consultant support for raising attainment. Targeted </w:t>
            </w:r>
            <w:r>
              <w:rPr>
                <w:rFonts w:ascii="Verdana" w:hAnsi="Verdana"/>
                <w:sz w:val="24"/>
                <w:szCs w:val="24"/>
              </w:rPr>
              <w:lastRenderedPageBreak/>
              <w:t>s</w:t>
            </w:r>
            <w:r w:rsidR="006B723B">
              <w:rPr>
                <w:rFonts w:ascii="Verdana" w:hAnsi="Verdana"/>
                <w:sz w:val="24"/>
                <w:szCs w:val="24"/>
              </w:rPr>
              <w:t xml:space="preserve">upport/resources to close gaps for </w:t>
            </w:r>
            <w:r>
              <w:rPr>
                <w:rFonts w:ascii="Verdana" w:hAnsi="Verdana"/>
                <w:sz w:val="24"/>
                <w:szCs w:val="24"/>
              </w:rPr>
              <w:t>pupils.</w:t>
            </w:r>
          </w:p>
          <w:p w:rsidR="006B723B" w:rsidRDefault="006B723B" w:rsidP="00693522">
            <w:pPr>
              <w:rPr>
                <w:rFonts w:ascii="Verdana" w:hAnsi="Verdana"/>
                <w:sz w:val="24"/>
                <w:szCs w:val="24"/>
              </w:rPr>
            </w:pPr>
            <w:r>
              <w:rPr>
                <w:rFonts w:ascii="Verdana" w:hAnsi="Verdana"/>
                <w:sz w:val="24"/>
                <w:szCs w:val="24"/>
              </w:rPr>
              <w:t>Pupil access to apps (vocabulary, times table)</w:t>
            </w:r>
          </w:p>
        </w:tc>
        <w:tc>
          <w:tcPr>
            <w:tcW w:w="1844" w:type="dxa"/>
          </w:tcPr>
          <w:p w:rsidR="00693522" w:rsidRPr="00D02F9C" w:rsidRDefault="00BA6BC7" w:rsidP="003C5E20">
            <w:pPr>
              <w:rPr>
                <w:rFonts w:ascii="Verdana" w:hAnsi="Verdana"/>
                <w:sz w:val="24"/>
                <w:szCs w:val="24"/>
              </w:rPr>
            </w:pPr>
            <w:r w:rsidRPr="00D02F9C">
              <w:rPr>
                <w:rFonts w:ascii="Verdana" w:hAnsi="Verdana"/>
                <w:sz w:val="24"/>
                <w:szCs w:val="24"/>
              </w:rPr>
              <w:lastRenderedPageBreak/>
              <w:t>£2,600 (1.6.19</w:t>
            </w:r>
            <w:r w:rsidR="00693522" w:rsidRPr="00D02F9C">
              <w:rPr>
                <w:rFonts w:ascii="Verdana" w:hAnsi="Verdana"/>
                <w:sz w:val="24"/>
                <w:szCs w:val="24"/>
              </w:rPr>
              <w:t>)</w:t>
            </w:r>
          </w:p>
        </w:tc>
      </w:tr>
      <w:tr w:rsidR="002E60AB" w:rsidTr="003C5E20">
        <w:tc>
          <w:tcPr>
            <w:tcW w:w="3888" w:type="dxa"/>
            <w:vMerge w:val="restart"/>
          </w:tcPr>
          <w:p w:rsidR="002E60AB" w:rsidRDefault="002E60AB" w:rsidP="003C5E20">
            <w:pPr>
              <w:rPr>
                <w:rFonts w:ascii="Verdana" w:hAnsi="Verdana"/>
                <w:sz w:val="24"/>
                <w:szCs w:val="24"/>
              </w:rPr>
            </w:pPr>
          </w:p>
        </w:tc>
        <w:tc>
          <w:tcPr>
            <w:tcW w:w="3510" w:type="dxa"/>
          </w:tcPr>
          <w:p w:rsidR="002E60AB" w:rsidRDefault="002E60AB" w:rsidP="003C5E20">
            <w:pPr>
              <w:rPr>
                <w:rFonts w:ascii="Verdana" w:hAnsi="Verdana"/>
                <w:sz w:val="24"/>
                <w:szCs w:val="24"/>
              </w:rPr>
            </w:pPr>
            <w:r>
              <w:rPr>
                <w:rFonts w:ascii="Verdana" w:hAnsi="Verdana"/>
                <w:sz w:val="24"/>
                <w:szCs w:val="24"/>
              </w:rPr>
              <w:t>Total Allocation</w:t>
            </w:r>
          </w:p>
        </w:tc>
        <w:tc>
          <w:tcPr>
            <w:tcW w:w="1844" w:type="dxa"/>
          </w:tcPr>
          <w:p w:rsidR="002E60AB" w:rsidRDefault="00712DC4" w:rsidP="001C4820">
            <w:pPr>
              <w:rPr>
                <w:rFonts w:ascii="Verdana" w:hAnsi="Verdana"/>
                <w:sz w:val="24"/>
                <w:szCs w:val="24"/>
              </w:rPr>
            </w:pPr>
            <w:r>
              <w:rPr>
                <w:rFonts w:ascii="Verdana" w:hAnsi="Verdana"/>
                <w:sz w:val="24"/>
                <w:szCs w:val="24"/>
              </w:rPr>
              <w:t>£139,950</w:t>
            </w:r>
          </w:p>
        </w:tc>
      </w:tr>
      <w:tr w:rsidR="002E60AB" w:rsidTr="003C5E20">
        <w:tc>
          <w:tcPr>
            <w:tcW w:w="3888" w:type="dxa"/>
            <w:vMerge/>
          </w:tcPr>
          <w:p w:rsidR="002E60AB" w:rsidRDefault="002E60AB" w:rsidP="003C5E20">
            <w:pPr>
              <w:rPr>
                <w:rFonts w:ascii="Verdana" w:hAnsi="Verdana"/>
                <w:sz w:val="24"/>
                <w:szCs w:val="24"/>
              </w:rPr>
            </w:pPr>
          </w:p>
        </w:tc>
        <w:tc>
          <w:tcPr>
            <w:tcW w:w="3510" w:type="dxa"/>
          </w:tcPr>
          <w:p w:rsidR="002E60AB" w:rsidRDefault="002E60AB" w:rsidP="003C5E20">
            <w:pPr>
              <w:rPr>
                <w:rFonts w:ascii="Verdana" w:hAnsi="Verdana"/>
                <w:sz w:val="24"/>
                <w:szCs w:val="24"/>
              </w:rPr>
            </w:pPr>
            <w:r>
              <w:rPr>
                <w:rFonts w:ascii="Verdana" w:hAnsi="Verdana"/>
                <w:sz w:val="24"/>
                <w:szCs w:val="24"/>
              </w:rPr>
              <w:t>Total Pupil Premium</w:t>
            </w:r>
          </w:p>
        </w:tc>
        <w:tc>
          <w:tcPr>
            <w:tcW w:w="1844" w:type="dxa"/>
          </w:tcPr>
          <w:p w:rsidR="00842E12" w:rsidRDefault="00712DC4" w:rsidP="001C4820">
            <w:pPr>
              <w:rPr>
                <w:rFonts w:ascii="Verdana" w:hAnsi="Verdana"/>
                <w:sz w:val="24"/>
                <w:szCs w:val="24"/>
              </w:rPr>
            </w:pPr>
            <w:r>
              <w:rPr>
                <w:rFonts w:ascii="Verdana" w:eastAsia="Times New Roman" w:hAnsi="Verdana" w:cs="Calibri"/>
                <w:sz w:val="24"/>
                <w:szCs w:val="24"/>
                <w:lang w:eastAsia="en-GB"/>
              </w:rPr>
              <w:t>£139,580</w:t>
            </w:r>
          </w:p>
        </w:tc>
      </w:tr>
      <w:tr w:rsidR="002E60AB" w:rsidTr="003C5E20">
        <w:tc>
          <w:tcPr>
            <w:tcW w:w="3888" w:type="dxa"/>
            <w:vMerge/>
          </w:tcPr>
          <w:p w:rsidR="002E60AB" w:rsidRDefault="002E60AB" w:rsidP="003C5E20">
            <w:pPr>
              <w:rPr>
                <w:rFonts w:ascii="Verdana" w:hAnsi="Verdana"/>
                <w:sz w:val="24"/>
                <w:szCs w:val="24"/>
              </w:rPr>
            </w:pPr>
          </w:p>
        </w:tc>
        <w:tc>
          <w:tcPr>
            <w:tcW w:w="3510" w:type="dxa"/>
          </w:tcPr>
          <w:p w:rsidR="002E60AB" w:rsidRDefault="002E60AB" w:rsidP="003C5E20">
            <w:pPr>
              <w:rPr>
                <w:rFonts w:ascii="Verdana" w:hAnsi="Verdana"/>
                <w:sz w:val="24"/>
                <w:szCs w:val="24"/>
              </w:rPr>
            </w:pPr>
            <w:r>
              <w:rPr>
                <w:rFonts w:ascii="Verdana" w:hAnsi="Verdana"/>
                <w:sz w:val="24"/>
                <w:szCs w:val="24"/>
              </w:rPr>
              <w:t>Total Remaining</w:t>
            </w:r>
          </w:p>
        </w:tc>
        <w:tc>
          <w:tcPr>
            <w:tcW w:w="1844" w:type="dxa"/>
          </w:tcPr>
          <w:p w:rsidR="002E60AB" w:rsidRDefault="00712DC4" w:rsidP="003C5E20">
            <w:pPr>
              <w:rPr>
                <w:rFonts w:ascii="Verdana" w:hAnsi="Verdana"/>
                <w:sz w:val="24"/>
                <w:szCs w:val="24"/>
              </w:rPr>
            </w:pPr>
            <w:r>
              <w:rPr>
                <w:rFonts w:ascii="Verdana" w:hAnsi="Verdana"/>
                <w:sz w:val="24"/>
                <w:szCs w:val="24"/>
              </w:rPr>
              <w:t>-£370</w:t>
            </w:r>
          </w:p>
        </w:tc>
      </w:tr>
    </w:tbl>
    <w:p w:rsidR="003C5E20" w:rsidRPr="003C5E20" w:rsidRDefault="003C5E20" w:rsidP="003C5E20">
      <w:pPr>
        <w:rPr>
          <w:rFonts w:ascii="Verdana" w:hAnsi="Verdana"/>
          <w:sz w:val="24"/>
          <w:szCs w:val="24"/>
        </w:rPr>
      </w:pPr>
    </w:p>
    <w:p w:rsidR="003C5E20" w:rsidRDefault="00CB275F" w:rsidP="003C5E20">
      <w:pPr>
        <w:rPr>
          <w:rFonts w:ascii="Verdana" w:hAnsi="Verdana"/>
          <w:sz w:val="40"/>
          <w:szCs w:val="40"/>
        </w:rPr>
      </w:pPr>
      <w:r>
        <w:rPr>
          <w:rFonts w:ascii="Verdana" w:hAnsi="Verdana"/>
          <w:sz w:val="40"/>
          <w:szCs w:val="40"/>
        </w:rPr>
        <w:br w:type="page"/>
      </w:r>
      <w:r w:rsidR="00BA582F">
        <w:rPr>
          <w:rFonts w:ascii="Verdana" w:hAnsi="Verdana"/>
          <w:sz w:val="40"/>
          <w:szCs w:val="40"/>
        </w:rPr>
        <w:lastRenderedPageBreak/>
        <w:t>Measuring Impact</w:t>
      </w:r>
    </w:p>
    <w:p w:rsidR="00270E7A" w:rsidRDefault="00270E7A" w:rsidP="003C5E20">
      <w:pPr>
        <w:rPr>
          <w:rFonts w:ascii="Verdana" w:hAnsi="Verdana"/>
          <w:sz w:val="24"/>
          <w:szCs w:val="24"/>
        </w:rPr>
      </w:pPr>
      <w:r>
        <w:rPr>
          <w:rFonts w:ascii="Verdana" w:hAnsi="Verdana"/>
          <w:sz w:val="24"/>
          <w:szCs w:val="24"/>
        </w:rPr>
        <w:t>On an annual basis we analyse our data for pupil progress and attainment in comparison to pupils in other schools both locally and nationally in order to ensure our pupils are doing at least as well as other pupils of the same age.</w:t>
      </w:r>
    </w:p>
    <w:p w:rsidR="00270E7A" w:rsidRDefault="00270E7A" w:rsidP="003C5E20">
      <w:pPr>
        <w:rPr>
          <w:rFonts w:ascii="Verdana" w:hAnsi="Verdana"/>
          <w:sz w:val="24"/>
          <w:szCs w:val="24"/>
        </w:rPr>
      </w:pPr>
      <w:r>
        <w:rPr>
          <w:rFonts w:ascii="Verdana" w:hAnsi="Verdana"/>
          <w:sz w:val="24"/>
          <w:szCs w:val="24"/>
        </w:rPr>
        <w:t>We regularly monitor the attainment and progress of all pupils throughout the schoo</w:t>
      </w:r>
      <w:r w:rsidR="009E1928">
        <w:rPr>
          <w:rFonts w:ascii="Verdana" w:hAnsi="Verdana"/>
          <w:sz w:val="24"/>
          <w:szCs w:val="24"/>
        </w:rPr>
        <w:t>l. This is done through our</w:t>
      </w:r>
      <w:r>
        <w:rPr>
          <w:rFonts w:ascii="Verdana" w:hAnsi="Verdana"/>
          <w:sz w:val="24"/>
          <w:szCs w:val="24"/>
        </w:rPr>
        <w:t xml:space="preserve"> termly pupil progress meetings which are led by senior leaders. </w:t>
      </w:r>
    </w:p>
    <w:p w:rsidR="00BA582F" w:rsidRDefault="00270E7A" w:rsidP="003C5E20">
      <w:pPr>
        <w:rPr>
          <w:rFonts w:ascii="Verdana" w:hAnsi="Verdana"/>
          <w:sz w:val="24"/>
          <w:szCs w:val="24"/>
        </w:rPr>
      </w:pPr>
      <w:r>
        <w:rPr>
          <w:rFonts w:ascii="Verdana" w:hAnsi="Verdana"/>
          <w:sz w:val="24"/>
          <w:szCs w:val="24"/>
        </w:rPr>
        <w:t>Attainment and progress data for all pupils is collated and analysed on a termly basis. Data for pupils entitled to Pupil Premium is collated and analysed separately. Governors are provided with this data and it is monitored and discussed at our regular Curriculum Committee Meetings.</w:t>
      </w:r>
    </w:p>
    <w:p w:rsidR="00270E7A" w:rsidRDefault="00270E7A" w:rsidP="003C5E20">
      <w:pPr>
        <w:rPr>
          <w:rFonts w:ascii="Verdana" w:hAnsi="Verdana"/>
          <w:sz w:val="24"/>
          <w:szCs w:val="24"/>
        </w:rPr>
      </w:pPr>
      <w:r>
        <w:rPr>
          <w:rFonts w:ascii="Verdana" w:hAnsi="Verdana"/>
          <w:sz w:val="24"/>
          <w:szCs w:val="24"/>
        </w:rPr>
        <w:t>Where pupils are identified as having a specific need and a targeted intervention is put in place, individual targets will be set for the pupil and their progress is measured against these.</w:t>
      </w:r>
    </w:p>
    <w:p w:rsidR="00270E7A" w:rsidRDefault="00270E7A" w:rsidP="003C5E20">
      <w:pPr>
        <w:rPr>
          <w:rFonts w:ascii="Verdana" w:hAnsi="Verdana"/>
          <w:sz w:val="40"/>
          <w:szCs w:val="40"/>
        </w:rPr>
      </w:pPr>
      <w:r>
        <w:rPr>
          <w:rFonts w:ascii="Verdana" w:hAnsi="Verdana"/>
          <w:sz w:val="40"/>
          <w:szCs w:val="40"/>
        </w:rPr>
        <w:t>Reviewing Our Strategy</w:t>
      </w:r>
    </w:p>
    <w:p w:rsidR="00270E7A" w:rsidRPr="00270E7A" w:rsidRDefault="00270E7A" w:rsidP="003C5E20">
      <w:pPr>
        <w:rPr>
          <w:rFonts w:ascii="Verdana" w:hAnsi="Verdana"/>
          <w:sz w:val="24"/>
          <w:szCs w:val="24"/>
        </w:rPr>
      </w:pPr>
      <w:r>
        <w:rPr>
          <w:rFonts w:ascii="Verdana" w:hAnsi="Verdana"/>
          <w:sz w:val="24"/>
          <w:szCs w:val="24"/>
        </w:rPr>
        <w:t xml:space="preserve">Our Pupil Premium Strategy is reviewed regularly at our Governing Body Curriculum Committee meetings. </w:t>
      </w:r>
    </w:p>
    <w:p w:rsidR="00270E7A" w:rsidRPr="00BA582F" w:rsidRDefault="00270E7A" w:rsidP="003C5E20">
      <w:pPr>
        <w:rPr>
          <w:rFonts w:ascii="Verdana" w:hAnsi="Verdana"/>
          <w:sz w:val="24"/>
          <w:szCs w:val="24"/>
        </w:rPr>
      </w:pPr>
    </w:p>
    <w:p w:rsidR="001F2A24" w:rsidRPr="009B6A25" w:rsidRDefault="001F2A24" w:rsidP="00D02F9C">
      <w:pPr>
        <w:jc w:val="both"/>
        <w:rPr>
          <w:rFonts w:ascii="Verdana" w:hAnsi="Verdana"/>
          <w:sz w:val="24"/>
          <w:szCs w:val="24"/>
        </w:rPr>
      </w:pPr>
    </w:p>
    <w:sectPr w:rsidR="001F2A24" w:rsidRPr="009B6A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stledow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D1B"/>
    <w:multiLevelType w:val="hybridMultilevel"/>
    <w:tmpl w:val="B42C70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8C51B2C"/>
    <w:multiLevelType w:val="hybridMultilevel"/>
    <w:tmpl w:val="2E60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5D"/>
    <w:rsid w:val="000223B0"/>
    <w:rsid w:val="000723E8"/>
    <w:rsid w:val="000D2FBD"/>
    <w:rsid w:val="001151CC"/>
    <w:rsid w:val="0011545F"/>
    <w:rsid w:val="00167EAD"/>
    <w:rsid w:val="001C4820"/>
    <w:rsid w:val="001C64B1"/>
    <w:rsid w:val="001F2A24"/>
    <w:rsid w:val="00232D1E"/>
    <w:rsid w:val="0025369B"/>
    <w:rsid w:val="00270E7A"/>
    <w:rsid w:val="002A5DD1"/>
    <w:rsid w:val="002E60AB"/>
    <w:rsid w:val="003C5E20"/>
    <w:rsid w:val="00427429"/>
    <w:rsid w:val="004D6E8B"/>
    <w:rsid w:val="005151E2"/>
    <w:rsid w:val="005407F3"/>
    <w:rsid w:val="005B7173"/>
    <w:rsid w:val="005E5DEF"/>
    <w:rsid w:val="005F152E"/>
    <w:rsid w:val="005F713F"/>
    <w:rsid w:val="00657DBE"/>
    <w:rsid w:val="00693522"/>
    <w:rsid w:val="006B723B"/>
    <w:rsid w:val="00712DC4"/>
    <w:rsid w:val="00793D9C"/>
    <w:rsid w:val="007A064A"/>
    <w:rsid w:val="007E4FE3"/>
    <w:rsid w:val="00822FAA"/>
    <w:rsid w:val="00842E12"/>
    <w:rsid w:val="0089535D"/>
    <w:rsid w:val="008B63C5"/>
    <w:rsid w:val="00943732"/>
    <w:rsid w:val="0098255E"/>
    <w:rsid w:val="00992EA6"/>
    <w:rsid w:val="009A2F5D"/>
    <w:rsid w:val="009B6A25"/>
    <w:rsid w:val="009E1928"/>
    <w:rsid w:val="00A52F04"/>
    <w:rsid w:val="00AE3B50"/>
    <w:rsid w:val="00B42940"/>
    <w:rsid w:val="00B657C9"/>
    <w:rsid w:val="00B92EEC"/>
    <w:rsid w:val="00BA582F"/>
    <w:rsid w:val="00BA6BC7"/>
    <w:rsid w:val="00BE0DEA"/>
    <w:rsid w:val="00C937EB"/>
    <w:rsid w:val="00CB275F"/>
    <w:rsid w:val="00D02F9C"/>
    <w:rsid w:val="00D249F6"/>
    <w:rsid w:val="00D404AE"/>
    <w:rsid w:val="00E3624C"/>
    <w:rsid w:val="00E5464C"/>
    <w:rsid w:val="00E77E27"/>
    <w:rsid w:val="00EC5EA4"/>
    <w:rsid w:val="00EF26F1"/>
    <w:rsid w:val="00EF7EF7"/>
    <w:rsid w:val="00F5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1F6B"/>
  <w15:docId w15:val="{39D369EF-166B-43B7-8F72-24DED25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2F5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4D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A24"/>
    <w:pPr>
      <w:ind w:left="720"/>
      <w:contextualSpacing/>
    </w:pPr>
  </w:style>
  <w:style w:type="paragraph" w:styleId="BalloonText">
    <w:name w:val="Balloon Text"/>
    <w:basedOn w:val="Normal"/>
    <w:link w:val="BalloonTextChar"/>
    <w:uiPriority w:val="99"/>
    <w:semiHidden/>
    <w:unhideWhenUsed/>
    <w:rsid w:val="0011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Ivybridge Primary School</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McKay</dc:creator>
  <cp:lastModifiedBy>Caroline McKay</cp:lastModifiedBy>
  <cp:revision>15</cp:revision>
  <cp:lastPrinted>2019-10-09T08:58:00Z</cp:lastPrinted>
  <dcterms:created xsi:type="dcterms:W3CDTF">2019-09-30T18:36:00Z</dcterms:created>
  <dcterms:modified xsi:type="dcterms:W3CDTF">2019-10-09T09:24:00Z</dcterms:modified>
</cp:coreProperties>
</file>